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Новосибирской области более 650 памятников, посвященных героям Великой Отечественной войны, поставлены на государственный кадастровый учет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Новосибирской области расположено более тысячи памятников и других мемориальных объектов, посвященных Великой Отечественной войне.</w:t>
      </w:r>
      <w:r>
        <w:rPr>
          <w:rFonts w:ascii="Times New Roman" w:hAnsi="Times New Roman" w:cs="Times New Roman"/>
          <w:sz w:val="28"/>
        </w:rPr>
        <w:t xml:space="preserve"> Управление Росреестра по Новосибирской области осуществляет кадастровый учет и внесение в Единый государственный реестр недвижимости  сведения об объектах недвижимости, увековечивающих подвиг советского наро</w:t>
      </w:r>
      <w:r>
        <w:rPr>
          <w:rFonts w:ascii="Times New Roman" w:hAnsi="Times New Roman" w:cs="Times New Roman"/>
          <w:sz w:val="28"/>
        </w:rPr>
        <w:t xml:space="preserve">да в годы </w:t>
      </w:r>
      <w:r>
        <w:rPr>
          <w:rFonts w:ascii="Times New Roman" w:hAnsi="Times New Roman" w:cs="Times New Roman"/>
          <w:sz w:val="28"/>
        </w:rPr>
        <w:t xml:space="preserve">войны.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регионе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</w:rPr>
        <w:t xml:space="preserve"> 996 памятников поставлены на государственный кадастровый учет, 667 из них созданы в честь </w:t>
      </w:r>
      <w:r>
        <w:rPr>
          <w:rFonts w:ascii="Times New Roman" w:hAnsi="Times New Roman" w:cs="Times New Roman"/>
          <w:sz w:val="28"/>
        </w:rPr>
        <w:t xml:space="preserve">сибиряков - </w:t>
      </w:r>
      <w:r>
        <w:rPr>
          <w:rFonts w:ascii="Times New Roman" w:hAnsi="Times New Roman" w:cs="Times New Roman"/>
          <w:sz w:val="28"/>
        </w:rPr>
        <w:t xml:space="preserve">героев Великой Отечественной войны, защитников Отечества, тружеников тыла.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Кадастровый учет указанных объектов необходим для обеспечения их обслуживания и сохранения, как культурного наследия народа.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egoe UI" w:cs="Tahom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304</cp:revision>
  <dcterms:created xsi:type="dcterms:W3CDTF">2009-04-08T02:19:00Z</dcterms:created>
  <dcterms:modified xsi:type="dcterms:W3CDTF">2025-05-05T04:57:30Z</dcterms:modified>
  <cp:version>917504</cp:version>
</cp:coreProperties>
</file>