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905763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905763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05763">
        <w:rPr>
          <w:b/>
          <w:spacing w:val="-10"/>
          <w:sz w:val="24"/>
          <w:szCs w:val="24"/>
        </w:rPr>
        <w:t>65</w:t>
      </w:r>
      <w:r w:rsidR="00905763">
        <w:rPr>
          <w:spacing w:val="-10"/>
          <w:sz w:val="24"/>
          <w:szCs w:val="24"/>
        </w:rPr>
        <w:t xml:space="preserve"> (</w:t>
      </w:r>
      <w:r w:rsidR="00ED3328">
        <w:rPr>
          <w:spacing w:val="-10"/>
          <w:sz w:val="24"/>
          <w:szCs w:val="24"/>
        </w:rPr>
        <w:t>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905763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905763">
        <w:rPr>
          <w:b/>
          <w:spacing w:val="-10"/>
          <w:sz w:val="24"/>
          <w:szCs w:val="24"/>
        </w:rPr>
        <w:t>41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05763">
        <w:rPr>
          <w:b/>
          <w:sz w:val="24"/>
          <w:szCs w:val="24"/>
        </w:rPr>
        <w:t>57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905763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905763">
        <w:rPr>
          <w:b/>
          <w:sz w:val="24"/>
          <w:szCs w:val="24"/>
        </w:rPr>
        <w:t>28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905763">
        <w:rPr>
          <w:b/>
          <w:sz w:val="24"/>
          <w:szCs w:val="24"/>
        </w:rPr>
        <w:t>37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905763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905763">
        <w:rPr>
          <w:b/>
          <w:sz w:val="24"/>
          <w:szCs w:val="24"/>
        </w:rPr>
        <w:t>16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8B0518">
        <w:rPr>
          <w:b/>
          <w:sz w:val="24"/>
          <w:szCs w:val="24"/>
        </w:rPr>
        <w:t xml:space="preserve"> </w:t>
      </w:r>
      <w:r w:rsidR="00905763">
        <w:rPr>
          <w:b/>
          <w:sz w:val="24"/>
          <w:szCs w:val="24"/>
        </w:rPr>
        <w:t>7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905763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905763">
        <w:rPr>
          <w:sz w:val="24"/>
          <w:szCs w:val="24"/>
        </w:rPr>
        <w:t>1</w:t>
      </w:r>
      <w:r w:rsidR="00DD3A5E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905763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8B0518">
        <w:rPr>
          <w:b/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D3A5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905763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905763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905763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2929BA" wp14:editId="0532B0D8">
            <wp:extent cx="5753100" cy="3524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0C97" w:rsidRDefault="00510C97" w:rsidP="005721D2">
      <w:pPr>
        <w:jc w:val="both"/>
        <w:outlineLvl w:val="0"/>
        <w:rPr>
          <w:noProof/>
          <w:sz w:val="24"/>
          <w:szCs w:val="24"/>
        </w:rPr>
      </w:pPr>
    </w:p>
    <w:p w:rsidR="00905763" w:rsidRDefault="00905763" w:rsidP="005721D2">
      <w:pPr>
        <w:jc w:val="both"/>
        <w:outlineLvl w:val="0"/>
        <w:rPr>
          <w:sz w:val="24"/>
          <w:szCs w:val="24"/>
        </w:rPr>
      </w:pPr>
    </w:p>
    <w:p w:rsidR="00905763" w:rsidRDefault="00905763" w:rsidP="005721D2">
      <w:pPr>
        <w:jc w:val="both"/>
        <w:outlineLvl w:val="0"/>
        <w:rPr>
          <w:sz w:val="24"/>
          <w:szCs w:val="24"/>
        </w:rPr>
      </w:pPr>
    </w:p>
    <w:p w:rsidR="00905763" w:rsidRPr="00B821CC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65</w:t>
      </w:r>
      <w:r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905763" w:rsidRPr="007E3966" w:rsidRDefault="00905763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>
        <w:rPr>
          <w:b/>
          <w:sz w:val="24"/>
          <w:szCs w:val="24"/>
        </w:rPr>
        <w:t>20</w:t>
      </w:r>
      <w:r w:rsidRPr="007E396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30,7</w:t>
      </w:r>
      <w:r w:rsidRPr="007E3966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Pr="007E3966">
        <w:rPr>
          <w:b/>
          <w:sz w:val="24"/>
          <w:szCs w:val="24"/>
        </w:rPr>
        <w:t>(</w:t>
      </w:r>
      <w:r w:rsidRPr="00905763">
        <w:rPr>
          <w:sz w:val="24"/>
          <w:szCs w:val="24"/>
        </w:rPr>
        <w:t xml:space="preserve">в </w:t>
      </w:r>
      <w:r w:rsidRPr="00905763">
        <w:rPr>
          <w:sz w:val="24"/>
          <w:szCs w:val="24"/>
          <w:lang w:val="en-US"/>
        </w:rPr>
        <w:t>I</w:t>
      </w:r>
      <w:r w:rsidRPr="00905763">
        <w:rPr>
          <w:sz w:val="24"/>
          <w:szCs w:val="24"/>
        </w:rPr>
        <w:t xml:space="preserve"> квартале 2023г.-</w:t>
      </w:r>
      <w:r>
        <w:rPr>
          <w:sz w:val="24"/>
          <w:szCs w:val="24"/>
        </w:rPr>
        <w:t xml:space="preserve"> </w:t>
      </w:r>
      <w:r w:rsidRPr="00905763">
        <w:rPr>
          <w:b/>
          <w:sz w:val="24"/>
          <w:szCs w:val="24"/>
        </w:rPr>
        <w:t>3 (7,3%)</w:t>
      </w:r>
      <w:r>
        <w:rPr>
          <w:b/>
          <w:sz w:val="24"/>
          <w:szCs w:val="24"/>
        </w:rPr>
        <w:t>)</w:t>
      </w:r>
    </w:p>
    <w:p w:rsidR="00905763" w:rsidRDefault="00905763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941B88">
        <w:rPr>
          <w:b/>
          <w:sz w:val="24"/>
          <w:szCs w:val="24"/>
        </w:rPr>
        <w:t>14</w:t>
      </w:r>
      <w:r w:rsidRPr="007E3966">
        <w:rPr>
          <w:b/>
          <w:sz w:val="24"/>
          <w:szCs w:val="24"/>
        </w:rPr>
        <w:t xml:space="preserve"> </w:t>
      </w:r>
      <w:r w:rsidR="00941B88">
        <w:rPr>
          <w:b/>
          <w:sz w:val="24"/>
          <w:szCs w:val="24"/>
        </w:rPr>
        <w:t>(21,5</w:t>
      </w:r>
      <w:r w:rsidRPr="007E3966">
        <w:rPr>
          <w:b/>
          <w:sz w:val="24"/>
          <w:szCs w:val="24"/>
        </w:rPr>
        <w:t>%),</w:t>
      </w:r>
      <w:r w:rsidRPr="00E465F3">
        <w:rPr>
          <w:b/>
          <w:sz w:val="24"/>
          <w:szCs w:val="24"/>
        </w:rPr>
        <w:t xml:space="preserve"> </w:t>
      </w:r>
      <w:r w:rsidRPr="007E3966">
        <w:rPr>
          <w:b/>
          <w:sz w:val="24"/>
          <w:szCs w:val="24"/>
        </w:rPr>
        <w:t>(</w:t>
      </w:r>
      <w:r w:rsidRPr="00905763">
        <w:rPr>
          <w:sz w:val="24"/>
          <w:szCs w:val="24"/>
        </w:rPr>
        <w:t xml:space="preserve">в </w:t>
      </w:r>
      <w:r w:rsidRPr="00905763">
        <w:rPr>
          <w:sz w:val="24"/>
          <w:szCs w:val="24"/>
          <w:lang w:val="en-US"/>
        </w:rPr>
        <w:t>I</w:t>
      </w:r>
      <w:r w:rsidRPr="00905763">
        <w:rPr>
          <w:sz w:val="24"/>
          <w:szCs w:val="24"/>
        </w:rPr>
        <w:t xml:space="preserve"> квартале 2023г.-</w:t>
      </w:r>
      <w:r>
        <w:rPr>
          <w:sz w:val="24"/>
          <w:szCs w:val="24"/>
        </w:rPr>
        <w:t xml:space="preserve"> </w:t>
      </w:r>
      <w:r w:rsidR="00941B88">
        <w:rPr>
          <w:b/>
          <w:sz w:val="24"/>
          <w:szCs w:val="24"/>
        </w:rPr>
        <w:t>14 (34,1</w:t>
      </w:r>
      <w:r w:rsidRPr="00905763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>)</w:t>
      </w:r>
    </w:p>
    <w:p w:rsidR="00905763" w:rsidRPr="007E3966" w:rsidRDefault="00941B88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-2</w:t>
      </w:r>
      <w:r w:rsidR="00905763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(3,07</w:t>
      </w:r>
      <w:r w:rsidR="00905763" w:rsidRPr="007E3966">
        <w:rPr>
          <w:b/>
          <w:sz w:val="24"/>
          <w:szCs w:val="24"/>
        </w:rPr>
        <w:t xml:space="preserve"> %),</w:t>
      </w:r>
      <w:r w:rsidR="00905763" w:rsidRPr="00E465F3">
        <w:rPr>
          <w:b/>
          <w:sz w:val="24"/>
          <w:szCs w:val="24"/>
        </w:rPr>
        <w:t xml:space="preserve"> </w:t>
      </w:r>
      <w:r w:rsidR="00905763" w:rsidRPr="007E3966">
        <w:rPr>
          <w:b/>
          <w:sz w:val="24"/>
          <w:szCs w:val="24"/>
        </w:rPr>
        <w:t>(</w:t>
      </w:r>
      <w:r w:rsidR="00905763" w:rsidRPr="00905763">
        <w:rPr>
          <w:sz w:val="24"/>
          <w:szCs w:val="24"/>
        </w:rPr>
        <w:t xml:space="preserve">в </w:t>
      </w:r>
      <w:r w:rsidR="00905763" w:rsidRPr="00905763">
        <w:rPr>
          <w:sz w:val="24"/>
          <w:szCs w:val="24"/>
          <w:lang w:val="en-US"/>
        </w:rPr>
        <w:t>I</w:t>
      </w:r>
      <w:r w:rsidR="00905763" w:rsidRPr="00905763">
        <w:rPr>
          <w:sz w:val="24"/>
          <w:szCs w:val="24"/>
        </w:rPr>
        <w:t xml:space="preserve"> квартале 2023г.-</w:t>
      </w:r>
      <w:r w:rsidR="0090576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 (12,1</w:t>
      </w:r>
      <w:r w:rsidR="00905763" w:rsidRPr="00905763">
        <w:rPr>
          <w:b/>
          <w:sz w:val="24"/>
          <w:szCs w:val="24"/>
        </w:rPr>
        <w:t>%)</w:t>
      </w:r>
      <w:r w:rsidR="00905763">
        <w:rPr>
          <w:b/>
          <w:sz w:val="24"/>
          <w:szCs w:val="24"/>
        </w:rPr>
        <w:t>)</w:t>
      </w:r>
    </w:p>
    <w:p w:rsidR="00905763" w:rsidRPr="007E3966" w:rsidRDefault="00941B88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«Экономика» -16 (24,6</w:t>
      </w:r>
      <w:r w:rsidR="00905763" w:rsidRPr="007E3966">
        <w:rPr>
          <w:b/>
          <w:sz w:val="24"/>
          <w:szCs w:val="24"/>
        </w:rPr>
        <w:t>%)</w:t>
      </w:r>
      <w:r w:rsidR="00905763">
        <w:rPr>
          <w:b/>
          <w:sz w:val="24"/>
          <w:szCs w:val="24"/>
        </w:rPr>
        <w:t xml:space="preserve">, </w:t>
      </w:r>
      <w:r w:rsidR="00905763" w:rsidRPr="007E3966">
        <w:rPr>
          <w:b/>
          <w:sz w:val="24"/>
          <w:szCs w:val="24"/>
        </w:rPr>
        <w:t>(</w:t>
      </w:r>
      <w:r w:rsidR="00905763" w:rsidRPr="00905763">
        <w:rPr>
          <w:sz w:val="24"/>
          <w:szCs w:val="24"/>
        </w:rPr>
        <w:t xml:space="preserve">в </w:t>
      </w:r>
      <w:r w:rsidR="00905763" w:rsidRPr="00905763">
        <w:rPr>
          <w:sz w:val="24"/>
          <w:szCs w:val="24"/>
          <w:lang w:val="en-US"/>
        </w:rPr>
        <w:t>I</w:t>
      </w:r>
      <w:r w:rsidR="00905763" w:rsidRPr="00905763">
        <w:rPr>
          <w:sz w:val="24"/>
          <w:szCs w:val="24"/>
        </w:rPr>
        <w:t xml:space="preserve"> квартале 2023г.-</w:t>
      </w:r>
      <w:r w:rsidR="0090576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 (26,8</w:t>
      </w:r>
      <w:r w:rsidR="00905763" w:rsidRPr="00905763">
        <w:rPr>
          <w:b/>
          <w:sz w:val="24"/>
          <w:szCs w:val="24"/>
        </w:rPr>
        <w:t>%)</w:t>
      </w:r>
      <w:r w:rsidR="00905763">
        <w:rPr>
          <w:b/>
          <w:sz w:val="24"/>
          <w:szCs w:val="24"/>
        </w:rPr>
        <w:t>)</w:t>
      </w:r>
    </w:p>
    <w:p w:rsidR="00905763" w:rsidRPr="007E3966" w:rsidRDefault="00905763" w:rsidP="0090576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>
        <w:rPr>
          <w:b/>
          <w:sz w:val="24"/>
          <w:szCs w:val="24"/>
        </w:rPr>
        <w:t xml:space="preserve"> </w:t>
      </w:r>
      <w:r w:rsidR="00941B88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941B88">
        <w:rPr>
          <w:b/>
          <w:sz w:val="24"/>
          <w:szCs w:val="24"/>
        </w:rPr>
        <w:t>(20</w:t>
      </w:r>
      <w:r w:rsidRPr="007E3966">
        <w:rPr>
          <w:b/>
          <w:sz w:val="24"/>
          <w:szCs w:val="24"/>
        </w:rPr>
        <w:t xml:space="preserve"> %)</w:t>
      </w:r>
      <w:r>
        <w:rPr>
          <w:b/>
          <w:sz w:val="24"/>
          <w:szCs w:val="24"/>
        </w:rPr>
        <w:t xml:space="preserve">, </w:t>
      </w:r>
      <w:r w:rsidRPr="007E3966">
        <w:rPr>
          <w:b/>
          <w:sz w:val="24"/>
          <w:szCs w:val="24"/>
        </w:rPr>
        <w:t>(</w:t>
      </w:r>
      <w:r w:rsidRPr="00905763">
        <w:rPr>
          <w:sz w:val="24"/>
          <w:szCs w:val="24"/>
        </w:rPr>
        <w:t xml:space="preserve">в </w:t>
      </w:r>
      <w:r w:rsidRPr="00905763">
        <w:rPr>
          <w:sz w:val="24"/>
          <w:szCs w:val="24"/>
          <w:lang w:val="en-US"/>
        </w:rPr>
        <w:t>I</w:t>
      </w:r>
      <w:r w:rsidRPr="00905763">
        <w:rPr>
          <w:sz w:val="24"/>
          <w:szCs w:val="24"/>
        </w:rPr>
        <w:t xml:space="preserve"> квартале 2023г.-</w:t>
      </w:r>
      <w:r>
        <w:rPr>
          <w:sz w:val="24"/>
          <w:szCs w:val="24"/>
        </w:rPr>
        <w:t xml:space="preserve"> </w:t>
      </w:r>
      <w:r w:rsidR="00941B88">
        <w:rPr>
          <w:b/>
          <w:sz w:val="24"/>
          <w:szCs w:val="24"/>
        </w:rPr>
        <w:t>7 (17,07</w:t>
      </w:r>
      <w:r w:rsidRPr="00905763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>)</w:t>
      </w:r>
    </w:p>
    <w:p w:rsidR="00905763" w:rsidRPr="00697B03" w:rsidRDefault="00905763" w:rsidP="00905763">
      <w:pPr>
        <w:pStyle w:val="a3"/>
        <w:ind w:left="-360"/>
        <w:outlineLvl w:val="0"/>
        <w:rPr>
          <w:sz w:val="24"/>
          <w:szCs w:val="24"/>
        </w:rPr>
      </w:pPr>
    </w:p>
    <w:p w:rsidR="00905763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7413A86B" wp14:editId="31310649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763" w:rsidRPr="00D96199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905763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905763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905763" w:rsidRPr="00DF0F01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905763" w:rsidRPr="00895F06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941B88">
        <w:rPr>
          <w:spacing w:val="-10"/>
          <w:sz w:val="24"/>
          <w:szCs w:val="24"/>
          <w:lang w:val="en-US"/>
        </w:rPr>
        <w:t>I</w:t>
      </w:r>
      <w:r w:rsidR="00941B88">
        <w:rPr>
          <w:spacing w:val="-10"/>
          <w:sz w:val="24"/>
          <w:szCs w:val="24"/>
        </w:rPr>
        <w:t xml:space="preserve"> квартале</w:t>
      </w:r>
      <w:r>
        <w:rPr>
          <w:spacing w:val="-10"/>
          <w:sz w:val="24"/>
          <w:szCs w:val="24"/>
        </w:rPr>
        <w:t xml:space="preserve"> 2024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941B88" w:rsidRPr="00941B88">
        <w:rPr>
          <w:b/>
          <w:spacing w:val="-10"/>
          <w:sz w:val="24"/>
          <w:szCs w:val="24"/>
        </w:rPr>
        <w:t>5</w:t>
      </w:r>
      <w:r w:rsidRPr="00941B88">
        <w:rPr>
          <w:b/>
          <w:spacing w:val="-10"/>
          <w:sz w:val="24"/>
          <w:szCs w:val="24"/>
        </w:rPr>
        <w:t>7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941B88" w:rsidRPr="00941B88">
        <w:rPr>
          <w:b/>
          <w:spacing w:val="-10"/>
          <w:sz w:val="24"/>
          <w:szCs w:val="24"/>
        </w:rPr>
        <w:t>37 (64,9</w:t>
      </w:r>
      <w:r w:rsidRPr="00941B88">
        <w:rPr>
          <w:b/>
          <w:spacing w:val="-10"/>
          <w:sz w:val="24"/>
          <w:szCs w:val="24"/>
        </w:rPr>
        <w:t>%),</w:t>
      </w:r>
      <w:r w:rsidRPr="00DF0F01">
        <w:rPr>
          <w:spacing w:val="-10"/>
          <w:sz w:val="24"/>
          <w:szCs w:val="24"/>
        </w:rPr>
        <w:t xml:space="preserve"> </w:t>
      </w:r>
      <w:r w:rsidR="00941B88" w:rsidRPr="007E3966">
        <w:rPr>
          <w:b/>
          <w:sz w:val="24"/>
          <w:szCs w:val="24"/>
        </w:rPr>
        <w:t>(</w:t>
      </w:r>
      <w:r w:rsidR="00941B88" w:rsidRPr="00905763">
        <w:rPr>
          <w:sz w:val="24"/>
          <w:szCs w:val="24"/>
        </w:rPr>
        <w:t xml:space="preserve">в </w:t>
      </w:r>
      <w:r w:rsidR="00941B88" w:rsidRPr="00905763">
        <w:rPr>
          <w:sz w:val="24"/>
          <w:szCs w:val="24"/>
          <w:lang w:val="en-US"/>
        </w:rPr>
        <w:t>I</w:t>
      </w:r>
      <w:r w:rsidR="00941B88" w:rsidRPr="00905763">
        <w:rPr>
          <w:sz w:val="24"/>
          <w:szCs w:val="24"/>
        </w:rPr>
        <w:t xml:space="preserve"> квартале 2023г.-</w:t>
      </w:r>
      <w:r w:rsidR="00941B88">
        <w:rPr>
          <w:sz w:val="24"/>
          <w:szCs w:val="24"/>
        </w:rPr>
        <w:t xml:space="preserve"> </w:t>
      </w:r>
      <w:r w:rsidR="00240BDA">
        <w:rPr>
          <w:b/>
          <w:sz w:val="24"/>
          <w:szCs w:val="24"/>
        </w:rPr>
        <w:t>28,</w:t>
      </w:r>
      <w:r w:rsidR="00240BDA" w:rsidRPr="00240BDA">
        <w:rPr>
          <w:spacing w:val="-10"/>
          <w:sz w:val="24"/>
          <w:szCs w:val="24"/>
        </w:rPr>
        <w:t xml:space="preserve"> </w:t>
      </w:r>
      <w:r w:rsidR="00240BDA" w:rsidRPr="00DF0F01">
        <w:rPr>
          <w:spacing w:val="-10"/>
          <w:sz w:val="24"/>
          <w:szCs w:val="24"/>
        </w:rPr>
        <w:t>в форме электронного документа</w:t>
      </w:r>
      <w:r w:rsidR="00240BDA">
        <w:rPr>
          <w:spacing w:val="-10"/>
          <w:sz w:val="24"/>
          <w:szCs w:val="24"/>
        </w:rPr>
        <w:t xml:space="preserve"> </w:t>
      </w:r>
      <w:r w:rsidR="00091100" w:rsidRPr="00240BDA">
        <w:rPr>
          <w:b/>
          <w:spacing w:val="-10"/>
          <w:sz w:val="24"/>
          <w:szCs w:val="24"/>
        </w:rPr>
        <w:t>16</w:t>
      </w:r>
      <w:r w:rsidR="00091100">
        <w:rPr>
          <w:b/>
          <w:sz w:val="24"/>
          <w:szCs w:val="24"/>
        </w:rPr>
        <w:t xml:space="preserve"> (</w:t>
      </w:r>
      <w:r w:rsidR="00240BDA">
        <w:rPr>
          <w:b/>
          <w:sz w:val="24"/>
          <w:szCs w:val="24"/>
        </w:rPr>
        <w:t>57</w:t>
      </w:r>
      <w:r w:rsidR="00941B88" w:rsidRPr="00905763">
        <w:rPr>
          <w:b/>
          <w:sz w:val="24"/>
          <w:szCs w:val="24"/>
        </w:rPr>
        <w:t>%)</w:t>
      </w:r>
      <w:r w:rsidR="00941B88">
        <w:rPr>
          <w:b/>
          <w:sz w:val="24"/>
          <w:szCs w:val="24"/>
        </w:rPr>
        <w:t>)</w:t>
      </w:r>
      <w:r w:rsidR="00941B88" w:rsidRPr="00DF0F01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Pr="00060E5A">
        <w:rPr>
          <w:spacing w:val="-10"/>
          <w:sz w:val="24"/>
          <w:szCs w:val="24"/>
        </w:rPr>
        <w:t xml:space="preserve">По сравнению </w:t>
      </w:r>
      <w:r w:rsidR="00091100" w:rsidRPr="00060E5A">
        <w:rPr>
          <w:spacing w:val="-10"/>
          <w:sz w:val="24"/>
          <w:szCs w:val="24"/>
        </w:rPr>
        <w:t xml:space="preserve">с </w:t>
      </w:r>
      <w:r w:rsidR="00091100">
        <w:rPr>
          <w:spacing w:val="-10"/>
          <w:sz w:val="24"/>
          <w:szCs w:val="24"/>
        </w:rPr>
        <w:t>I</w:t>
      </w:r>
      <w:r w:rsidR="003E0D59" w:rsidRPr="003E0D59">
        <w:rPr>
          <w:spacing w:val="-10"/>
          <w:sz w:val="24"/>
          <w:szCs w:val="24"/>
        </w:rPr>
        <w:t xml:space="preserve"> </w:t>
      </w:r>
      <w:r w:rsidR="003E0D59">
        <w:rPr>
          <w:spacing w:val="-10"/>
          <w:sz w:val="24"/>
          <w:szCs w:val="24"/>
        </w:rPr>
        <w:t>кварталом 2023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091100">
        <w:rPr>
          <w:spacing w:val="-10"/>
          <w:sz w:val="24"/>
          <w:szCs w:val="24"/>
          <w:lang w:val="en-US"/>
        </w:rPr>
        <w:t>I</w:t>
      </w:r>
      <w:r w:rsidR="00091100" w:rsidRPr="003E0D59">
        <w:rPr>
          <w:spacing w:val="-10"/>
          <w:sz w:val="24"/>
          <w:szCs w:val="24"/>
        </w:rPr>
        <w:t xml:space="preserve"> </w:t>
      </w:r>
      <w:r w:rsidR="00091100">
        <w:rPr>
          <w:spacing w:val="-10"/>
          <w:sz w:val="24"/>
          <w:szCs w:val="24"/>
        </w:rPr>
        <w:t>квартале</w:t>
      </w:r>
      <w:r>
        <w:rPr>
          <w:spacing w:val="-10"/>
          <w:sz w:val="24"/>
          <w:szCs w:val="24"/>
        </w:rPr>
        <w:t xml:space="preserve"> 2024</w:t>
      </w:r>
      <w:r w:rsidRPr="00060E5A">
        <w:rPr>
          <w:spacing w:val="-10"/>
          <w:sz w:val="24"/>
          <w:szCs w:val="24"/>
        </w:rPr>
        <w:t xml:space="preserve"> </w:t>
      </w:r>
      <w:r w:rsidR="00091100" w:rsidRPr="00060E5A">
        <w:rPr>
          <w:spacing w:val="-10"/>
          <w:sz w:val="24"/>
          <w:szCs w:val="24"/>
        </w:rPr>
        <w:t xml:space="preserve">года </w:t>
      </w:r>
      <w:r w:rsidR="00091100">
        <w:rPr>
          <w:spacing w:val="-10"/>
          <w:sz w:val="24"/>
          <w:szCs w:val="24"/>
        </w:rPr>
        <w:t>увеличилось</w:t>
      </w:r>
      <w:r w:rsidR="003E0D59">
        <w:rPr>
          <w:spacing w:val="-10"/>
          <w:sz w:val="24"/>
          <w:szCs w:val="24"/>
        </w:rPr>
        <w:t xml:space="preserve"> на </w:t>
      </w:r>
      <w:r w:rsidR="003E0D59" w:rsidRPr="003E0D59">
        <w:rPr>
          <w:b/>
          <w:spacing w:val="-10"/>
          <w:sz w:val="24"/>
          <w:szCs w:val="24"/>
        </w:rPr>
        <w:t>20</w:t>
      </w:r>
      <w:r w:rsidR="003E0D59">
        <w:rPr>
          <w:spacing w:val="-10"/>
          <w:sz w:val="24"/>
          <w:szCs w:val="24"/>
        </w:rPr>
        <w:t xml:space="preserve"> </w:t>
      </w:r>
      <w:r w:rsidR="00091100">
        <w:rPr>
          <w:spacing w:val="-10"/>
          <w:sz w:val="24"/>
          <w:szCs w:val="24"/>
        </w:rPr>
        <w:t>обращений (</w:t>
      </w:r>
      <w:r w:rsidR="003E0D59" w:rsidRPr="003E0D59">
        <w:rPr>
          <w:b/>
          <w:spacing w:val="-10"/>
          <w:sz w:val="24"/>
          <w:szCs w:val="24"/>
        </w:rPr>
        <w:t>35</w:t>
      </w:r>
      <w:r w:rsidR="00091100" w:rsidRPr="003E0D59">
        <w:rPr>
          <w:b/>
          <w:spacing w:val="-10"/>
          <w:sz w:val="24"/>
          <w:szCs w:val="24"/>
        </w:rPr>
        <w:t>%).</w:t>
      </w:r>
      <w:r w:rsidRPr="00060E5A">
        <w:rPr>
          <w:spacing w:val="-10"/>
          <w:sz w:val="24"/>
          <w:szCs w:val="24"/>
        </w:rPr>
        <w:t xml:space="preserve"> </w:t>
      </w:r>
    </w:p>
    <w:p w:rsidR="00905763" w:rsidRPr="00881D8E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905763" w:rsidRPr="00D96199" w:rsidRDefault="00905763" w:rsidP="0090576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CAEA46" wp14:editId="438A4B68">
            <wp:extent cx="6115050" cy="33337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5763" w:rsidRPr="003C7935" w:rsidRDefault="00905763" w:rsidP="00905763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905763" w:rsidRPr="003C7935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DE1931" w:rsidRPr="00DE1931">
        <w:rPr>
          <w:b/>
          <w:color w:val="000000" w:themeColor="text1"/>
          <w:sz w:val="24"/>
          <w:szCs w:val="24"/>
        </w:rPr>
        <w:t>32</w:t>
      </w:r>
      <w:r w:rsidRPr="00DE1931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DE1931">
        <w:rPr>
          <w:b/>
          <w:color w:val="000000" w:themeColor="text1"/>
          <w:sz w:val="24"/>
          <w:szCs w:val="24"/>
        </w:rPr>
        <w:t>56,1</w:t>
      </w:r>
      <w:r w:rsidRPr="003C7935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6D4C03">
        <w:rPr>
          <w:sz w:val="24"/>
          <w:szCs w:val="24"/>
        </w:rPr>
        <w:t xml:space="preserve"> 2023 года -</w:t>
      </w:r>
      <w:r w:rsidR="00DE1931">
        <w:rPr>
          <w:b/>
          <w:sz w:val="24"/>
          <w:szCs w:val="24"/>
        </w:rPr>
        <w:t>25 (89,2%</w:t>
      </w:r>
      <w:r w:rsidR="006D4C03">
        <w:rPr>
          <w:sz w:val="24"/>
          <w:szCs w:val="24"/>
        </w:rPr>
        <w:t>).</w:t>
      </w:r>
    </w:p>
    <w:p w:rsidR="00905763" w:rsidRPr="003C7935" w:rsidRDefault="00DE1931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запросы- </w:t>
      </w:r>
      <w:r w:rsidRPr="00DE1931">
        <w:rPr>
          <w:b/>
          <w:color w:val="000000" w:themeColor="text1"/>
          <w:sz w:val="24"/>
          <w:szCs w:val="24"/>
        </w:rPr>
        <w:t>8</w:t>
      </w:r>
      <w:r w:rsidR="00905763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14</w:t>
      </w:r>
      <w:r w:rsidR="00905763">
        <w:rPr>
          <w:b/>
          <w:color w:val="000000" w:themeColor="text1"/>
          <w:sz w:val="24"/>
          <w:szCs w:val="24"/>
        </w:rPr>
        <w:t xml:space="preserve"> </w:t>
      </w:r>
      <w:r w:rsidR="00905763" w:rsidRPr="003C7935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905763"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6D4C03">
        <w:rPr>
          <w:sz w:val="24"/>
          <w:szCs w:val="24"/>
        </w:rPr>
        <w:t xml:space="preserve"> 2023 года -</w:t>
      </w:r>
      <w:r>
        <w:rPr>
          <w:b/>
          <w:sz w:val="24"/>
          <w:szCs w:val="24"/>
        </w:rPr>
        <w:t>2 (7,1%</w:t>
      </w:r>
      <w:r w:rsidR="006D4C03">
        <w:rPr>
          <w:sz w:val="24"/>
          <w:szCs w:val="24"/>
        </w:rPr>
        <w:t>).</w:t>
      </w:r>
    </w:p>
    <w:p w:rsidR="00905763" w:rsidRPr="0078198E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DE1931">
        <w:rPr>
          <w:b/>
          <w:color w:val="000000" w:themeColor="text1"/>
          <w:sz w:val="24"/>
          <w:szCs w:val="24"/>
        </w:rPr>
        <w:t>11 (19,2</w:t>
      </w:r>
      <w:r w:rsidRPr="00373753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6D4C03">
        <w:rPr>
          <w:sz w:val="24"/>
          <w:szCs w:val="24"/>
        </w:rPr>
        <w:t xml:space="preserve"> 2023 года -</w:t>
      </w:r>
      <w:r w:rsidR="00DE1931">
        <w:rPr>
          <w:b/>
          <w:sz w:val="24"/>
          <w:szCs w:val="24"/>
        </w:rPr>
        <w:t>0 (0%)</w:t>
      </w:r>
      <w:r w:rsidR="006D4C03">
        <w:rPr>
          <w:sz w:val="24"/>
          <w:szCs w:val="24"/>
        </w:rPr>
        <w:t>).</w:t>
      </w:r>
    </w:p>
    <w:p w:rsidR="00905763" w:rsidRPr="00BD03D4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78198E">
        <w:rPr>
          <w:color w:val="000000" w:themeColor="text1"/>
          <w:sz w:val="24"/>
          <w:szCs w:val="24"/>
        </w:rPr>
        <w:t>предложения</w:t>
      </w:r>
      <w:r w:rsidR="00DE1931">
        <w:rPr>
          <w:b/>
          <w:color w:val="000000" w:themeColor="text1"/>
          <w:sz w:val="24"/>
          <w:szCs w:val="24"/>
        </w:rPr>
        <w:t xml:space="preserve"> – 5 (8,7</w:t>
      </w:r>
      <w:r w:rsidRPr="00373753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6D4C03">
        <w:rPr>
          <w:sz w:val="24"/>
          <w:szCs w:val="24"/>
        </w:rPr>
        <w:t xml:space="preserve"> 2023 года -</w:t>
      </w:r>
      <w:r w:rsidR="00DE1931">
        <w:rPr>
          <w:b/>
          <w:sz w:val="24"/>
          <w:szCs w:val="24"/>
        </w:rPr>
        <w:t>1 (3,5%)</w:t>
      </w:r>
      <w:r w:rsidR="006D4C03">
        <w:rPr>
          <w:sz w:val="24"/>
          <w:szCs w:val="24"/>
        </w:rPr>
        <w:t>).</w:t>
      </w:r>
    </w:p>
    <w:p w:rsidR="00905763" w:rsidRPr="00BD03D4" w:rsidRDefault="00905763" w:rsidP="00905763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BD03D4">
        <w:rPr>
          <w:color w:val="000000" w:themeColor="text1"/>
          <w:sz w:val="24"/>
          <w:szCs w:val="24"/>
        </w:rPr>
        <w:t xml:space="preserve">не обращение- </w:t>
      </w:r>
      <w:r w:rsidR="00DE1931">
        <w:rPr>
          <w:b/>
          <w:color w:val="000000" w:themeColor="text1"/>
          <w:sz w:val="24"/>
          <w:szCs w:val="24"/>
        </w:rPr>
        <w:t>1 (1,7</w:t>
      </w:r>
      <w:r w:rsidRPr="00373753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 w:rsidR="006D4C03">
        <w:rPr>
          <w:color w:val="000000" w:themeColor="text1"/>
          <w:sz w:val="24"/>
          <w:szCs w:val="24"/>
        </w:rPr>
        <w:t xml:space="preserve"> </w:t>
      </w:r>
      <w:r w:rsidR="006D4C03">
        <w:rPr>
          <w:sz w:val="24"/>
          <w:szCs w:val="24"/>
        </w:rPr>
        <w:t xml:space="preserve">(в </w:t>
      </w:r>
      <w:r w:rsidR="006D4C03">
        <w:rPr>
          <w:spacing w:val="-10"/>
          <w:sz w:val="24"/>
          <w:szCs w:val="24"/>
          <w:lang w:val="en-US"/>
        </w:rPr>
        <w:t>I</w:t>
      </w:r>
      <w:r w:rsidR="006D4C03">
        <w:rPr>
          <w:spacing w:val="-10"/>
          <w:sz w:val="24"/>
          <w:szCs w:val="24"/>
        </w:rPr>
        <w:t xml:space="preserve"> квартале</w:t>
      </w:r>
      <w:r w:rsidR="006D4C03">
        <w:rPr>
          <w:sz w:val="24"/>
          <w:szCs w:val="24"/>
        </w:rPr>
        <w:t xml:space="preserve"> 2023 года -</w:t>
      </w:r>
      <w:r w:rsidR="006D4C03">
        <w:rPr>
          <w:b/>
          <w:sz w:val="24"/>
          <w:szCs w:val="24"/>
        </w:rPr>
        <w:t>0</w:t>
      </w:r>
      <w:r w:rsidR="00DE1931">
        <w:rPr>
          <w:b/>
          <w:sz w:val="24"/>
          <w:szCs w:val="24"/>
        </w:rPr>
        <w:t xml:space="preserve"> (0%)</w:t>
      </w:r>
      <w:r w:rsidR="006D4C03">
        <w:rPr>
          <w:sz w:val="24"/>
          <w:szCs w:val="24"/>
        </w:rPr>
        <w:t>).</w:t>
      </w:r>
    </w:p>
    <w:p w:rsidR="00905763" w:rsidRPr="00B67C98" w:rsidRDefault="00905763" w:rsidP="00905763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905763" w:rsidRPr="00B67C98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DE1931">
        <w:rPr>
          <w:b/>
          <w:color w:val="000000" w:themeColor="text1"/>
          <w:sz w:val="24"/>
          <w:szCs w:val="24"/>
        </w:rPr>
        <w:t>56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DE1931">
        <w:rPr>
          <w:b/>
          <w:color w:val="000000" w:themeColor="text1"/>
          <w:sz w:val="24"/>
          <w:szCs w:val="24"/>
        </w:rPr>
        <w:t>98,2</w:t>
      </w:r>
      <w:proofErr w:type="gramStart"/>
      <w:r w:rsidRPr="00B67C98"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 xml:space="preserve">, </w:t>
      </w:r>
      <w:r w:rsidRPr="00B67C98">
        <w:rPr>
          <w:color w:val="000000" w:themeColor="text1"/>
          <w:sz w:val="24"/>
          <w:szCs w:val="24"/>
        </w:rPr>
        <w:t xml:space="preserve"> </w:t>
      </w:r>
      <w:r w:rsidR="00DE1931">
        <w:rPr>
          <w:sz w:val="24"/>
          <w:szCs w:val="24"/>
        </w:rPr>
        <w:t>(</w:t>
      </w:r>
      <w:proofErr w:type="gramEnd"/>
      <w:r w:rsidR="00DE1931">
        <w:rPr>
          <w:sz w:val="24"/>
          <w:szCs w:val="24"/>
        </w:rPr>
        <w:t xml:space="preserve">в </w:t>
      </w:r>
      <w:r w:rsidR="00DE1931">
        <w:rPr>
          <w:spacing w:val="-10"/>
          <w:sz w:val="24"/>
          <w:szCs w:val="24"/>
          <w:lang w:val="en-US"/>
        </w:rPr>
        <w:t>I</w:t>
      </w:r>
      <w:r w:rsidR="00DE1931">
        <w:rPr>
          <w:spacing w:val="-10"/>
          <w:sz w:val="24"/>
          <w:szCs w:val="24"/>
        </w:rPr>
        <w:t xml:space="preserve"> квартале</w:t>
      </w:r>
      <w:r w:rsidR="00DE1931">
        <w:rPr>
          <w:sz w:val="24"/>
          <w:szCs w:val="24"/>
        </w:rPr>
        <w:t xml:space="preserve"> 2023 года -</w:t>
      </w:r>
      <w:r w:rsidR="00DE1931">
        <w:rPr>
          <w:b/>
          <w:sz w:val="24"/>
          <w:szCs w:val="24"/>
        </w:rPr>
        <w:t>27 (96,4%)</w:t>
      </w:r>
      <w:r w:rsidR="00DE1931">
        <w:rPr>
          <w:sz w:val="24"/>
          <w:szCs w:val="24"/>
        </w:rPr>
        <w:t>).</w:t>
      </w:r>
    </w:p>
    <w:p w:rsidR="00905763" w:rsidRPr="00B67C98" w:rsidRDefault="00905763" w:rsidP="00905763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DE1931">
        <w:rPr>
          <w:color w:val="000000" w:themeColor="text1"/>
          <w:sz w:val="24"/>
          <w:szCs w:val="24"/>
        </w:rPr>
        <w:t xml:space="preserve"> </w:t>
      </w:r>
      <w:r w:rsidR="00DE1931">
        <w:rPr>
          <w:color w:val="000000" w:themeColor="text1"/>
          <w:sz w:val="24"/>
          <w:szCs w:val="24"/>
          <w:lang w:val="en-US"/>
        </w:rPr>
        <w:t>I</w:t>
      </w:r>
      <w:r w:rsidR="00DE1931" w:rsidRPr="00DE1931">
        <w:rPr>
          <w:color w:val="000000" w:themeColor="text1"/>
          <w:sz w:val="24"/>
          <w:szCs w:val="24"/>
        </w:rPr>
        <w:t xml:space="preserve"> </w:t>
      </w:r>
      <w:r w:rsidR="00DE1931">
        <w:rPr>
          <w:color w:val="000000" w:themeColor="text1"/>
          <w:sz w:val="24"/>
          <w:szCs w:val="24"/>
        </w:rPr>
        <w:t>квартал</w:t>
      </w:r>
      <w:r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DE1931">
        <w:rPr>
          <w:b/>
          <w:color w:val="000000" w:themeColor="text1"/>
          <w:sz w:val="24"/>
          <w:szCs w:val="24"/>
        </w:rPr>
        <w:t>1 (1,7</w:t>
      </w:r>
      <w:r>
        <w:rPr>
          <w:b/>
          <w:color w:val="000000" w:themeColor="text1"/>
          <w:sz w:val="24"/>
          <w:szCs w:val="24"/>
        </w:rPr>
        <w:t>%)</w:t>
      </w:r>
      <w:r w:rsidR="00DE1931">
        <w:rPr>
          <w:b/>
          <w:color w:val="000000" w:themeColor="text1"/>
          <w:sz w:val="24"/>
          <w:szCs w:val="24"/>
        </w:rPr>
        <w:t>,</w:t>
      </w:r>
      <w:r w:rsidRPr="00B67C98">
        <w:rPr>
          <w:color w:val="000000" w:themeColor="text1"/>
          <w:sz w:val="24"/>
          <w:szCs w:val="24"/>
        </w:rPr>
        <w:t xml:space="preserve"> </w:t>
      </w:r>
      <w:r w:rsidR="00DE1931">
        <w:rPr>
          <w:sz w:val="24"/>
          <w:szCs w:val="24"/>
        </w:rPr>
        <w:t xml:space="preserve">(в </w:t>
      </w:r>
      <w:r w:rsidR="00DE1931">
        <w:rPr>
          <w:spacing w:val="-10"/>
          <w:sz w:val="24"/>
          <w:szCs w:val="24"/>
          <w:lang w:val="en-US"/>
        </w:rPr>
        <w:t>I</w:t>
      </w:r>
      <w:r w:rsidR="00DE1931">
        <w:rPr>
          <w:spacing w:val="-10"/>
          <w:sz w:val="24"/>
          <w:szCs w:val="24"/>
        </w:rPr>
        <w:t xml:space="preserve"> квартале</w:t>
      </w:r>
      <w:r w:rsidR="00DE1931">
        <w:rPr>
          <w:sz w:val="24"/>
          <w:szCs w:val="24"/>
        </w:rPr>
        <w:t xml:space="preserve"> 2023 года -</w:t>
      </w:r>
      <w:r w:rsidR="00DE1931">
        <w:rPr>
          <w:b/>
          <w:sz w:val="24"/>
          <w:szCs w:val="24"/>
        </w:rPr>
        <w:t>1 (3,5%)</w:t>
      </w:r>
      <w:r w:rsidR="00DE1931">
        <w:rPr>
          <w:sz w:val="24"/>
          <w:szCs w:val="24"/>
        </w:rPr>
        <w:t>).</w:t>
      </w:r>
    </w:p>
    <w:p w:rsidR="00905763" w:rsidRPr="00895F06" w:rsidRDefault="00905763" w:rsidP="00905763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905763" w:rsidRPr="00895F06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CA7FB0">
        <w:rPr>
          <w:b/>
          <w:color w:val="000000" w:themeColor="text1"/>
          <w:sz w:val="24"/>
          <w:szCs w:val="24"/>
        </w:rPr>
        <w:t>19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CA7FB0">
        <w:rPr>
          <w:b/>
          <w:color w:val="000000" w:themeColor="text1"/>
          <w:sz w:val="24"/>
          <w:szCs w:val="24"/>
        </w:rPr>
        <w:t>33,3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CA7FB0">
        <w:rPr>
          <w:b/>
          <w:sz w:val="24"/>
          <w:szCs w:val="24"/>
        </w:rPr>
        <w:t>10 (35,7%)</w:t>
      </w:r>
      <w:r w:rsidR="00CA7FB0">
        <w:rPr>
          <w:sz w:val="24"/>
          <w:szCs w:val="24"/>
        </w:rPr>
        <w:t>).</w:t>
      </w:r>
    </w:p>
    <w:p w:rsidR="00CA7FB0" w:rsidRDefault="00905763" w:rsidP="00905763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CA7FB0">
        <w:rPr>
          <w:b/>
          <w:color w:val="000000" w:themeColor="text1"/>
          <w:sz w:val="24"/>
          <w:szCs w:val="24"/>
        </w:rPr>
        <w:t>15 (26,3</w:t>
      </w:r>
      <w:proofErr w:type="gramStart"/>
      <w:r w:rsidRPr="00895F06">
        <w:rPr>
          <w:b/>
          <w:color w:val="000000" w:themeColor="text1"/>
          <w:sz w:val="24"/>
          <w:szCs w:val="24"/>
        </w:rPr>
        <w:t>%),</w:t>
      </w:r>
      <w:r w:rsidR="00CA7FB0">
        <w:rPr>
          <w:sz w:val="24"/>
          <w:szCs w:val="24"/>
        </w:rPr>
        <w:t>(</w:t>
      </w:r>
      <w:proofErr w:type="gramEnd"/>
      <w:r w:rsidR="00CA7FB0">
        <w:rPr>
          <w:sz w:val="24"/>
          <w:szCs w:val="24"/>
        </w:rPr>
        <w:t xml:space="preserve">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CA7FB0">
        <w:rPr>
          <w:b/>
          <w:sz w:val="24"/>
          <w:szCs w:val="24"/>
        </w:rPr>
        <w:t>10 (35,7%)</w:t>
      </w:r>
      <w:r w:rsidR="00CA7FB0">
        <w:rPr>
          <w:sz w:val="24"/>
          <w:szCs w:val="24"/>
        </w:rPr>
        <w:t>).</w:t>
      </w:r>
    </w:p>
    <w:p w:rsidR="00905763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 - сайт –</w:t>
      </w:r>
      <w:r w:rsidR="00FB1F62">
        <w:rPr>
          <w:b/>
          <w:color w:val="000000" w:themeColor="text1"/>
          <w:sz w:val="24"/>
          <w:szCs w:val="24"/>
        </w:rPr>
        <w:t xml:space="preserve">14 (24,5%),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FB1F62">
        <w:rPr>
          <w:b/>
          <w:sz w:val="24"/>
          <w:szCs w:val="24"/>
        </w:rPr>
        <w:t>4 (14,2</w:t>
      </w:r>
      <w:r w:rsidR="00CA7FB0">
        <w:rPr>
          <w:b/>
          <w:sz w:val="24"/>
          <w:szCs w:val="24"/>
        </w:rPr>
        <w:t>%)</w:t>
      </w:r>
      <w:r w:rsidR="00CA7FB0">
        <w:rPr>
          <w:sz w:val="24"/>
          <w:szCs w:val="24"/>
        </w:rPr>
        <w:t>).</w:t>
      </w:r>
    </w:p>
    <w:p w:rsidR="00905763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FB1F62">
        <w:rPr>
          <w:b/>
          <w:color w:val="000000" w:themeColor="text1"/>
          <w:sz w:val="24"/>
          <w:szCs w:val="24"/>
        </w:rPr>
        <w:t>– 2 (3,5</w:t>
      </w:r>
      <w:r w:rsidRPr="00C77FC9">
        <w:rPr>
          <w:b/>
          <w:color w:val="000000" w:themeColor="text1"/>
          <w:sz w:val="24"/>
          <w:szCs w:val="24"/>
        </w:rPr>
        <w:t>%)</w:t>
      </w:r>
      <w:r w:rsidR="00FB1F62"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FB1F62">
        <w:rPr>
          <w:b/>
          <w:sz w:val="24"/>
          <w:szCs w:val="24"/>
        </w:rPr>
        <w:t>4 (14,2</w:t>
      </w:r>
      <w:r w:rsidR="00CA7FB0">
        <w:rPr>
          <w:b/>
          <w:sz w:val="24"/>
          <w:szCs w:val="24"/>
        </w:rPr>
        <w:t>%)</w:t>
      </w:r>
      <w:r w:rsidR="00CA7FB0">
        <w:rPr>
          <w:sz w:val="24"/>
          <w:szCs w:val="24"/>
        </w:rPr>
        <w:t>).</w:t>
      </w:r>
    </w:p>
    <w:p w:rsidR="00905763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 xml:space="preserve">Уполномоченный по правам ребенка </w:t>
      </w:r>
      <w:r>
        <w:rPr>
          <w:color w:val="000000" w:themeColor="text1"/>
          <w:sz w:val="24"/>
          <w:szCs w:val="24"/>
        </w:rPr>
        <w:t>- 1</w:t>
      </w:r>
      <w:r w:rsidR="00FB1F62">
        <w:rPr>
          <w:b/>
          <w:color w:val="000000" w:themeColor="text1"/>
          <w:sz w:val="24"/>
          <w:szCs w:val="24"/>
        </w:rPr>
        <w:t xml:space="preserve"> (1,7</w:t>
      </w:r>
      <w:r w:rsidRPr="00C77FC9">
        <w:rPr>
          <w:b/>
          <w:color w:val="000000" w:themeColor="text1"/>
          <w:sz w:val="24"/>
          <w:szCs w:val="24"/>
        </w:rPr>
        <w:t>%)</w:t>
      </w:r>
      <w:r w:rsidR="00FB1F62">
        <w:rPr>
          <w:b/>
          <w:color w:val="000000" w:themeColor="text1"/>
          <w:sz w:val="24"/>
          <w:szCs w:val="24"/>
        </w:rPr>
        <w:t xml:space="preserve">,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FB1F62">
        <w:rPr>
          <w:b/>
          <w:sz w:val="24"/>
          <w:szCs w:val="24"/>
        </w:rPr>
        <w:t>0 (0</w:t>
      </w:r>
      <w:r w:rsidR="00CA7FB0">
        <w:rPr>
          <w:b/>
          <w:sz w:val="24"/>
          <w:szCs w:val="24"/>
        </w:rPr>
        <w:t>%)</w:t>
      </w:r>
      <w:r w:rsidR="00CA7FB0">
        <w:rPr>
          <w:sz w:val="24"/>
          <w:szCs w:val="24"/>
        </w:rPr>
        <w:t>).</w:t>
      </w:r>
    </w:p>
    <w:p w:rsidR="00CA7FB0" w:rsidRDefault="00905763" w:rsidP="00CA7FB0">
      <w:pPr>
        <w:tabs>
          <w:tab w:val="left" w:pos="7515"/>
        </w:tabs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</w:t>
      </w:r>
      <w:r w:rsidRPr="00AA1E26">
        <w:rPr>
          <w:b/>
          <w:color w:val="000000" w:themeColor="text1"/>
          <w:sz w:val="24"/>
          <w:szCs w:val="24"/>
        </w:rPr>
        <w:t>Администрация города Болотное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– </w:t>
      </w:r>
      <w:r w:rsidR="00FB1F62">
        <w:rPr>
          <w:b/>
          <w:color w:val="000000" w:themeColor="text1"/>
          <w:sz w:val="24"/>
          <w:szCs w:val="24"/>
        </w:rPr>
        <w:t xml:space="preserve"> 2</w:t>
      </w:r>
      <w:proofErr w:type="gramEnd"/>
      <w:r w:rsidR="00FB1F62">
        <w:rPr>
          <w:b/>
          <w:color w:val="000000" w:themeColor="text1"/>
          <w:sz w:val="24"/>
          <w:szCs w:val="24"/>
        </w:rPr>
        <w:t xml:space="preserve"> (3,5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CA7FB0">
        <w:rPr>
          <w:b/>
          <w:sz w:val="24"/>
          <w:szCs w:val="24"/>
        </w:rPr>
        <w:t>1 (3,5%)</w:t>
      </w:r>
      <w:r w:rsidR="00CA7FB0">
        <w:rPr>
          <w:sz w:val="24"/>
          <w:szCs w:val="24"/>
        </w:rPr>
        <w:t>).</w:t>
      </w:r>
      <w:r w:rsidR="00CA7FB0">
        <w:rPr>
          <w:color w:val="000000" w:themeColor="text1"/>
          <w:sz w:val="24"/>
          <w:szCs w:val="24"/>
        </w:rPr>
        <w:tab/>
      </w:r>
    </w:p>
    <w:p w:rsidR="00905763" w:rsidRDefault="00905763" w:rsidP="00905763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B5477">
        <w:rPr>
          <w:b/>
          <w:color w:val="000000" w:themeColor="text1"/>
          <w:sz w:val="24"/>
          <w:szCs w:val="24"/>
        </w:rPr>
        <w:t>Министерство образования</w:t>
      </w:r>
      <w:r w:rsidR="00FB1F62">
        <w:rPr>
          <w:color w:val="000000" w:themeColor="text1"/>
          <w:sz w:val="24"/>
          <w:szCs w:val="24"/>
        </w:rPr>
        <w:t xml:space="preserve"> – 1</w:t>
      </w:r>
      <w:r w:rsidR="00FB1F62">
        <w:rPr>
          <w:b/>
          <w:color w:val="000000" w:themeColor="text1"/>
          <w:sz w:val="24"/>
          <w:szCs w:val="24"/>
        </w:rPr>
        <w:t xml:space="preserve"> (1,7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 xml:space="preserve">,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FB1F62" w:rsidRPr="00FB1F62">
        <w:rPr>
          <w:b/>
          <w:sz w:val="24"/>
          <w:szCs w:val="24"/>
        </w:rPr>
        <w:t>0</w:t>
      </w:r>
      <w:r w:rsidR="00FB1F62">
        <w:rPr>
          <w:b/>
          <w:sz w:val="24"/>
          <w:szCs w:val="24"/>
        </w:rPr>
        <w:t xml:space="preserve"> (0</w:t>
      </w:r>
      <w:r w:rsidR="00CA7FB0">
        <w:rPr>
          <w:b/>
          <w:sz w:val="24"/>
          <w:szCs w:val="24"/>
        </w:rPr>
        <w:t>%)</w:t>
      </w:r>
      <w:r w:rsidR="00CA7FB0">
        <w:rPr>
          <w:sz w:val="24"/>
          <w:szCs w:val="24"/>
        </w:rPr>
        <w:t>).</w:t>
      </w:r>
    </w:p>
    <w:p w:rsidR="00905763" w:rsidRDefault="00905763" w:rsidP="00905763">
      <w:pPr>
        <w:jc w:val="both"/>
        <w:outlineLvl w:val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>Министерство строительства</w:t>
      </w:r>
      <w:r>
        <w:rPr>
          <w:color w:val="000000" w:themeColor="text1"/>
          <w:sz w:val="24"/>
          <w:szCs w:val="24"/>
        </w:rPr>
        <w:t xml:space="preserve"> -  </w:t>
      </w:r>
      <w:r w:rsidR="00FB1F62">
        <w:rPr>
          <w:b/>
          <w:color w:val="000000" w:themeColor="text1"/>
          <w:sz w:val="24"/>
          <w:szCs w:val="24"/>
        </w:rPr>
        <w:t>1 (1,7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 w:rsidR="00CA7FB0">
        <w:rPr>
          <w:sz w:val="24"/>
          <w:szCs w:val="24"/>
        </w:rPr>
        <w:t xml:space="preserve">(в </w:t>
      </w:r>
      <w:r w:rsidR="00CA7FB0">
        <w:rPr>
          <w:spacing w:val="-10"/>
          <w:sz w:val="24"/>
          <w:szCs w:val="24"/>
          <w:lang w:val="en-US"/>
        </w:rPr>
        <w:t>I</w:t>
      </w:r>
      <w:r w:rsidR="00CA7FB0">
        <w:rPr>
          <w:spacing w:val="-10"/>
          <w:sz w:val="24"/>
          <w:szCs w:val="24"/>
        </w:rPr>
        <w:t xml:space="preserve"> квартале</w:t>
      </w:r>
      <w:r w:rsidR="00CA7FB0">
        <w:rPr>
          <w:sz w:val="24"/>
          <w:szCs w:val="24"/>
        </w:rPr>
        <w:t xml:space="preserve"> 2023 года -</w:t>
      </w:r>
      <w:r w:rsidR="00FB1F62">
        <w:rPr>
          <w:b/>
          <w:sz w:val="24"/>
          <w:szCs w:val="24"/>
        </w:rPr>
        <w:t>0 (0</w:t>
      </w:r>
      <w:r w:rsidR="00CA7FB0">
        <w:rPr>
          <w:b/>
          <w:sz w:val="24"/>
          <w:szCs w:val="24"/>
        </w:rPr>
        <w:t>%)</w:t>
      </w:r>
      <w:r w:rsidR="00CA7FB0">
        <w:rPr>
          <w:sz w:val="24"/>
          <w:szCs w:val="24"/>
        </w:rPr>
        <w:t>).</w:t>
      </w:r>
    </w:p>
    <w:p w:rsidR="00FB1F62" w:rsidRDefault="00FB1F62" w:rsidP="0090576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1F62">
        <w:rPr>
          <w:b/>
          <w:sz w:val="24"/>
          <w:szCs w:val="24"/>
        </w:rPr>
        <w:t>Законодательное Собрание НСО</w:t>
      </w:r>
      <w:r>
        <w:rPr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1 (1,7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2023 года -</w:t>
      </w:r>
      <w:r>
        <w:rPr>
          <w:b/>
          <w:sz w:val="24"/>
          <w:szCs w:val="24"/>
        </w:rPr>
        <w:t>0 (0%)</w:t>
      </w:r>
      <w:r>
        <w:rPr>
          <w:sz w:val="24"/>
          <w:szCs w:val="24"/>
        </w:rPr>
        <w:t>).</w:t>
      </w:r>
    </w:p>
    <w:p w:rsidR="00FB1F62" w:rsidRDefault="00FB1F62" w:rsidP="0090576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1F62">
        <w:rPr>
          <w:b/>
          <w:sz w:val="24"/>
          <w:szCs w:val="24"/>
        </w:rPr>
        <w:t>Гос. жилищная инспекция</w:t>
      </w:r>
      <w:r>
        <w:rPr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1 (1,7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2023 года -</w:t>
      </w:r>
      <w:r>
        <w:rPr>
          <w:b/>
          <w:sz w:val="24"/>
          <w:szCs w:val="24"/>
        </w:rPr>
        <w:t>1 (3,5%)</w:t>
      </w:r>
      <w:r>
        <w:rPr>
          <w:sz w:val="24"/>
          <w:szCs w:val="24"/>
        </w:rPr>
        <w:t>).</w:t>
      </w:r>
    </w:p>
    <w:p w:rsidR="00FB1F62" w:rsidRDefault="00FB1F62" w:rsidP="00905763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1F62">
        <w:rPr>
          <w:b/>
          <w:sz w:val="24"/>
          <w:szCs w:val="24"/>
        </w:rPr>
        <w:t>Мэрия г. Новосибирска</w:t>
      </w:r>
      <w:r>
        <w:rPr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0 (0</w:t>
      </w:r>
      <w:r w:rsidRPr="00AA1E26">
        <w:rPr>
          <w:b/>
          <w:color w:val="000000" w:themeColor="text1"/>
          <w:sz w:val="24"/>
          <w:szCs w:val="24"/>
        </w:rPr>
        <w:t>%),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2023 года -</w:t>
      </w:r>
      <w:r>
        <w:rPr>
          <w:b/>
          <w:sz w:val="24"/>
          <w:szCs w:val="24"/>
        </w:rPr>
        <w:t>1 (3,5%)</w:t>
      </w:r>
      <w:r>
        <w:rPr>
          <w:sz w:val="24"/>
          <w:szCs w:val="24"/>
        </w:rPr>
        <w:t>).</w:t>
      </w:r>
    </w:p>
    <w:p w:rsidR="00905763" w:rsidRDefault="00905763" w:rsidP="00905763">
      <w:pPr>
        <w:jc w:val="center"/>
        <w:outlineLvl w:val="0"/>
        <w:rPr>
          <w:b/>
          <w:sz w:val="24"/>
          <w:szCs w:val="24"/>
        </w:rPr>
      </w:pPr>
    </w:p>
    <w:p w:rsidR="00905763" w:rsidRDefault="00905763" w:rsidP="00905763">
      <w:pPr>
        <w:jc w:val="center"/>
        <w:outlineLvl w:val="0"/>
        <w:rPr>
          <w:b/>
          <w:sz w:val="24"/>
          <w:szCs w:val="24"/>
        </w:rPr>
      </w:pP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FB1F62" w:rsidRDefault="00FB1F62" w:rsidP="00FB1F62">
      <w:pPr>
        <w:jc w:val="center"/>
        <w:outlineLvl w:val="0"/>
        <w:rPr>
          <w:b/>
          <w:sz w:val="24"/>
          <w:szCs w:val="24"/>
        </w:rPr>
      </w:pPr>
    </w:p>
    <w:p w:rsidR="00FB1F62" w:rsidRPr="00EA1DB7" w:rsidRDefault="00FB1F62" w:rsidP="00FB1F62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FB1F62" w:rsidRDefault="00FB1F62" w:rsidP="00FB1F62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I</w:t>
      </w:r>
      <w:r w:rsidRPr="00FB1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2024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обратилось </w:t>
      </w:r>
      <w:r>
        <w:rPr>
          <w:b/>
          <w:sz w:val="24"/>
          <w:szCs w:val="24"/>
        </w:rPr>
        <w:t xml:space="preserve">7 </w:t>
      </w:r>
      <w:r>
        <w:rPr>
          <w:sz w:val="24"/>
          <w:szCs w:val="24"/>
        </w:rPr>
        <w:t xml:space="preserve">человек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2023 года -</w:t>
      </w:r>
      <w:r>
        <w:rPr>
          <w:b/>
          <w:sz w:val="24"/>
          <w:szCs w:val="24"/>
        </w:rPr>
        <w:t>13</w:t>
      </w:r>
      <w:r>
        <w:rPr>
          <w:sz w:val="24"/>
          <w:szCs w:val="24"/>
        </w:rPr>
        <w:t xml:space="preserve">).) По сравнению </w:t>
      </w:r>
      <w:r w:rsidR="00D36DD9">
        <w:rPr>
          <w:sz w:val="24"/>
          <w:szCs w:val="24"/>
        </w:rPr>
        <w:t>с I</w:t>
      </w:r>
      <w:r w:rsidR="00D36DD9" w:rsidRPr="00430CCE">
        <w:rPr>
          <w:sz w:val="24"/>
          <w:szCs w:val="24"/>
        </w:rPr>
        <w:t xml:space="preserve"> </w:t>
      </w:r>
      <w:r w:rsidR="00D36DD9">
        <w:rPr>
          <w:sz w:val="24"/>
          <w:szCs w:val="24"/>
        </w:rPr>
        <w:t>кварталом 2023</w:t>
      </w:r>
      <w:r>
        <w:rPr>
          <w:sz w:val="24"/>
          <w:szCs w:val="24"/>
        </w:rPr>
        <w:t xml:space="preserve"> года общее количество граждан, принятых на личном приеме в </w:t>
      </w:r>
      <w:r w:rsidR="00D36DD9">
        <w:rPr>
          <w:sz w:val="24"/>
          <w:szCs w:val="24"/>
          <w:lang w:val="en-US"/>
        </w:rPr>
        <w:t>I</w:t>
      </w:r>
      <w:r w:rsidR="00D36DD9" w:rsidRPr="00430CCE">
        <w:rPr>
          <w:sz w:val="24"/>
          <w:szCs w:val="24"/>
        </w:rPr>
        <w:t xml:space="preserve"> </w:t>
      </w:r>
      <w:r w:rsidR="00D36DD9">
        <w:rPr>
          <w:sz w:val="24"/>
          <w:szCs w:val="24"/>
        </w:rPr>
        <w:t>квартале</w:t>
      </w:r>
      <w:r>
        <w:rPr>
          <w:sz w:val="24"/>
          <w:szCs w:val="24"/>
        </w:rPr>
        <w:t xml:space="preserve"> 2024 года </w:t>
      </w:r>
      <w:r w:rsidR="00D36DD9">
        <w:rPr>
          <w:sz w:val="24"/>
          <w:szCs w:val="24"/>
        </w:rPr>
        <w:t>уменьшилось на</w:t>
      </w:r>
      <w:r w:rsidR="00430CCE">
        <w:rPr>
          <w:sz w:val="24"/>
          <w:szCs w:val="24"/>
        </w:rPr>
        <w:t xml:space="preserve"> 6 обращений (85,7%)</w:t>
      </w:r>
    </w:p>
    <w:p w:rsidR="00FB1F62" w:rsidRDefault="00FB1F62" w:rsidP="00FB1F6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4E67FE" wp14:editId="22F87C61">
            <wp:extent cx="5514975" cy="2457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1F62" w:rsidRDefault="00FB1F62" w:rsidP="00FB1F62">
      <w:pPr>
        <w:ind w:left="-426"/>
        <w:outlineLvl w:val="0"/>
        <w:rPr>
          <w:sz w:val="24"/>
          <w:szCs w:val="24"/>
        </w:rPr>
      </w:pPr>
    </w:p>
    <w:p w:rsidR="00FB1F62" w:rsidRDefault="00FB1F62" w:rsidP="00FB1F62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430CCE" w:rsidRDefault="00FB1F62" w:rsidP="00430CCE">
      <w:pPr>
        <w:jc w:val="both"/>
        <w:outlineLvl w:val="0"/>
        <w:rPr>
          <w:color w:val="000000" w:themeColor="text1"/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430CCE">
        <w:rPr>
          <w:sz w:val="24"/>
          <w:szCs w:val="24"/>
        </w:rPr>
        <w:t>7</w:t>
      </w:r>
      <w:r>
        <w:rPr>
          <w:b/>
          <w:sz w:val="24"/>
          <w:szCs w:val="24"/>
        </w:rPr>
        <w:t xml:space="preserve"> (100</w:t>
      </w:r>
      <w:r w:rsidR="00430CCE">
        <w:rPr>
          <w:b/>
          <w:sz w:val="24"/>
          <w:szCs w:val="24"/>
        </w:rPr>
        <w:t xml:space="preserve">%),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430CCE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430CCE">
        <w:rPr>
          <w:sz w:val="24"/>
          <w:szCs w:val="24"/>
        </w:rPr>
        <w:t xml:space="preserve"> 2023 года -</w:t>
      </w:r>
      <w:r w:rsidR="00430CCE">
        <w:rPr>
          <w:b/>
          <w:sz w:val="24"/>
          <w:szCs w:val="24"/>
        </w:rPr>
        <w:t>12 (92,3%)</w:t>
      </w:r>
      <w:r w:rsidR="00430CCE">
        <w:rPr>
          <w:sz w:val="24"/>
          <w:szCs w:val="24"/>
        </w:rPr>
        <w:t>).</w:t>
      </w:r>
    </w:p>
    <w:p w:rsidR="00430CCE" w:rsidRDefault="00FB1F62" w:rsidP="00430CCE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поддержано, в том числе приняты меры - 0</w:t>
      </w:r>
      <w:r>
        <w:rPr>
          <w:b/>
          <w:sz w:val="24"/>
          <w:szCs w:val="24"/>
        </w:rPr>
        <w:t xml:space="preserve"> (0</w:t>
      </w:r>
      <w:r w:rsidR="00430CCE">
        <w:rPr>
          <w:b/>
          <w:sz w:val="24"/>
          <w:szCs w:val="24"/>
        </w:rPr>
        <w:t xml:space="preserve">%),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430CCE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430CCE">
        <w:rPr>
          <w:sz w:val="24"/>
          <w:szCs w:val="24"/>
        </w:rPr>
        <w:t xml:space="preserve"> 2023 года -</w:t>
      </w:r>
      <w:r w:rsidR="00430CCE">
        <w:rPr>
          <w:b/>
          <w:sz w:val="24"/>
          <w:szCs w:val="24"/>
        </w:rPr>
        <w:t>1 (7,6%)</w:t>
      </w:r>
      <w:r w:rsidR="00430CCE">
        <w:rPr>
          <w:sz w:val="24"/>
          <w:szCs w:val="24"/>
        </w:rPr>
        <w:t>).</w:t>
      </w:r>
    </w:p>
    <w:p w:rsidR="00FB1F62" w:rsidRDefault="00FB1F62" w:rsidP="00FB1F62">
      <w:pPr>
        <w:ind w:left="-426"/>
        <w:outlineLvl w:val="0"/>
        <w:rPr>
          <w:sz w:val="24"/>
          <w:szCs w:val="24"/>
        </w:rPr>
      </w:pPr>
    </w:p>
    <w:p w:rsidR="00FB1F62" w:rsidRPr="00DD43FF" w:rsidRDefault="00FB1F62" w:rsidP="00FB1F62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FB1F62" w:rsidRDefault="00FB1F62" w:rsidP="00FB1F62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сообщений по</w:t>
      </w:r>
      <w:r w:rsidR="00430CCE">
        <w:rPr>
          <w:sz w:val="24"/>
          <w:szCs w:val="24"/>
        </w:rPr>
        <w:t xml:space="preserve"> справочному телефону в </w:t>
      </w:r>
      <w:r w:rsidR="00430CCE">
        <w:rPr>
          <w:sz w:val="24"/>
          <w:szCs w:val="24"/>
          <w:lang w:val="en-US"/>
        </w:rPr>
        <w:t>I</w:t>
      </w:r>
      <w:r w:rsidR="00430CCE">
        <w:rPr>
          <w:sz w:val="24"/>
          <w:szCs w:val="24"/>
        </w:rPr>
        <w:t xml:space="preserve"> </w:t>
      </w:r>
      <w:r w:rsidR="00091100">
        <w:rPr>
          <w:sz w:val="24"/>
          <w:szCs w:val="24"/>
        </w:rPr>
        <w:t>квартале 2024</w:t>
      </w:r>
      <w:r>
        <w:rPr>
          <w:sz w:val="24"/>
          <w:szCs w:val="24"/>
        </w:rPr>
        <w:t xml:space="preserve"> года поступило </w:t>
      </w:r>
      <w:r w:rsidR="00430CCE">
        <w:rPr>
          <w:b/>
          <w:sz w:val="24"/>
          <w:szCs w:val="24"/>
        </w:rPr>
        <w:t>1</w:t>
      </w:r>
      <w:r w:rsidRPr="00DD43FF">
        <w:rPr>
          <w:b/>
          <w:sz w:val="24"/>
          <w:szCs w:val="24"/>
        </w:rPr>
        <w:t xml:space="preserve"> </w:t>
      </w:r>
      <w:r w:rsidR="00430CCE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430CCE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430CCE">
        <w:rPr>
          <w:sz w:val="24"/>
          <w:szCs w:val="24"/>
        </w:rPr>
        <w:t xml:space="preserve"> 2023 года -</w:t>
      </w:r>
      <w:r w:rsidR="00430CCE">
        <w:rPr>
          <w:b/>
          <w:sz w:val="24"/>
          <w:szCs w:val="24"/>
        </w:rPr>
        <w:t>0 (0</w:t>
      </w:r>
      <w:bookmarkStart w:id="0" w:name="_GoBack"/>
      <w:bookmarkEnd w:id="0"/>
      <w:r w:rsidR="00091100">
        <w:rPr>
          <w:b/>
          <w:sz w:val="24"/>
          <w:szCs w:val="24"/>
        </w:rPr>
        <w:t>%)</w:t>
      </w:r>
      <w:r w:rsidR="00091100">
        <w:rPr>
          <w:sz w:val="24"/>
          <w:szCs w:val="24"/>
        </w:rPr>
        <w:t>). По</w:t>
      </w:r>
      <w:r>
        <w:rPr>
          <w:sz w:val="24"/>
          <w:szCs w:val="24"/>
        </w:rPr>
        <w:t xml:space="preserve">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</w:t>
      </w:r>
      <w:r w:rsidR="00430CCE">
        <w:rPr>
          <w:b/>
          <w:color w:val="000000" w:themeColor="text1"/>
          <w:sz w:val="24"/>
          <w:szCs w:val="24"/>
        </w:rPr>
        <w:t>(</w:t>
      </w:r>
      <w:r w:rsidR="00430CCE">
        <w:rPr>
          <w:sz w:val="24"/>
          <w:szCs w:val="24"/>
        </w:rPr>
        <w:t xml:space="preserve">в </w:t>
      </w:r>
      <w:r w:rsidR="00430CCE">
        <w:rPr>
          <w:spacing w:val="-10"/>
          <w:sz w:val="24"/>
          <w:szCs w:val="24"/>
          <w:lang w:val="en-US"/>
        </w:rPr>
        <w:t>I</w:t>
      </w:r>
      <w:r w:rsidR="00430CCE">
        <w:rPr>
          <w:spacing w:val="-10"/>
          <w:sz w:val="24"/>
          <w:szCs w:val="24"/>
        </w:rPr>
        <w:t xml:space="preserve"> квартале</w:t>
      </w:r>
      <w:r w:rsidR="00430CCE">
        <w:rPr>
          <w:sz w:val="24"/>
          <w:szCs w:val="24"/>
        </w:rPr>
        <w:t xml:space="preserve"> 2023 года -</w:t>
      </w:r>
      <w:r w:rsidR="00430CCE">
        <w:rPr>
          <w:b/>
          <w:sz w:val="24"/>
          <w:szCs w:val="24"/>
        </w:rPr>
        <w:t>0 (0%)</w:t>
      </w:r>
      <w:r w:rsidR="00430CCE">
        <w:rPr>
          <w:sz w:val="24"/>
          <w:szCs w:val="24"/>
        </w:rPr>
        <w:t>).</w:t>
      </w:r>
    </w:p>
    <w:p w:rsidR="00FB1F62" w:rsidRPr="00DD43FF" w:rsidRDefault="00FB1F62" w:rsidP="00FB1F62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FB1F62" w:rsidRDefault="00FB1F62" w:rsidP="00FB1F62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FB1F62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</w:t>
      </w:r>
      <w:r w:rsidR="00430CCE">
        <w:rPr>
          <w:sz w:val="24"/>
          <w:szCs w:val="24"/>
        </w:rPr>
        <w:t xml:space="preserve">ской области позволила в </w:t>
      </w:r>
      <w:r w:rsidR="00430CCE">
        <w:rPr>
          <w:sz w:val="24"/>
          <w:szCs w:val="24"/>
          <w:lang w:val="en-US"/>
        </w:rPr>
        <w:t>I</w:t>
      </w:r>
      <w:r w:rsidR="00430CCE" w:rsidRPr="00430CCE">
        <w:rPr>
          <w:sz w:val="24"/>
          <w:szCs w:val="24"/>
        </w:rPr>
        <w:t xml:space="preserve"> </w:t>
      </w:r>
      <w:r w:rsidR="00430CCE">
        <w:rPr>
          <w:sz w:val="24"/>
          <w:szCs w:val="24"/>
        </w:rPr>
        <w:t>квартале</w:t>
      </w:r>
      <w:r>
        <w:rPr>
          <w:sz w:val="24"/>
          <w:szCs w:val="24"/>
        </w:rPr>
        <w:t xml:space="preserve"> 2024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FB1F62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FB1F62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FB1F62" w:rsidRPr="00DD43FF" w:rsidRDefault="00FB1F62" w:rsidP="00FB1F62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B6D"/>
    <w:rsid w:val="00091100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0BDA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C5055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43317"/>
    <w:rsid w:val="00352A1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0D59"/>
    <w:rsid w:val="003E2927"/>
    <w:rsid w:val="003E5C4E"/>
    <w:rsid w:val="003F015C"/>
    <w:rsid w:val="003F0CFB"/>
    <w:rsid w:val="00403678"/>
    <w:rsid w:val="004226C4"/>
    <w:rsid w:val="00426741"/>
    <w:rsid w:val="00430CCE"/>
    <w:rsid w:val="00434592"/>
    <w:rsid w:val="00443F7A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514B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4C0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B0518"/>
    <w:rsid w:val="008C5AF1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05763"/>
    <w:rsid w:val="009156D5"/>
    <w:rsid w:val="00925F17"/>
    <w:rsid w:val="00931C1F"/>
    <w:rsid w:val="0093365C"/>
    <w:rsid w:val="00936D09"/>
    <w:rsid w:val="00941B88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A7FB0"/>
    <w:rsid w:val="00CB5571"/>
    <w:rsid w:val="00CE1ED7"/>
    <w:rsid w:val="00CF6CBC"/>
    <w:rsid w:val="00D02E0B"/>
    <w:rsid w:val="00D063DA"/>
    <w:rsid w:val="00D173B5"/>
    <w:rsid w:val="00D251C4"/>
    <w:rsid w:val="00D36DD9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3A5E"/>
    <w:rsid w:val="00DD5BA1"/>
    <w:rsid w:val="00DD69BD"/>
    <w:rsid w:val="00DE1931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97438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1F62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</a:t>
            </a:r>
            <a:r>
              <a:rPr lang="en-US" sz="1100" b="1" baseline="0"/>
              <a:t>I</a:t>
            </a:r>
            <a:r>
              <a:rPr lang="ru-RU" sz="1100" b="1" baseline="0"/>
              <a:t> квартале  2024 года в сравнении с </a:t>
            </a:r>
            <a:r>
              <a:rPr lang="en-US" sz="1100" b="1" baseline="0"/>
              <a:t>I </a:t>
            </a:r>
            <a:r>
              <a:rPr lang="ru-RU" sz="1100" b="1" baseline="0"/>
              <a:t>кварталом 2023 года 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57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28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296864"/>
        <c:axId val="283297424"/>
      </c:barChart>
      <c:catAx>
        <c:axId val="28329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297424"/>
        <c:crosses val="autoZero"/>
        <c:auto val="1"/>
        <c:lblAlgn val="ctr"/>
        <c:lblOffset val="100"/>
        <c:noMultiLvlLbl val="0"/>
      </c:catAx>
      <c:valAx>
        <c:axId val="28329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29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</a:t>
            </a:r>
            <a:r>
              <a:rPr lang="en-US"/>
              <a:t>I</a:t>
            </a:r>
            <a:r>
              <a:rPr lang="ru-RU" baseline="0"/>
              <a:t>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16</c:v>
                </c:pt>
                <c:pt idx="2">
                  <c:v>14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</a:t>
            </a:r>
            <a:r>
              <a:rPr lang="en-US" baseline="0"/>
              <a:t>I </a:t>
            </a:r>
            <a:r>
              <a:rPr lang="ru-RU" baseline="0"/>
              <a:t>квартале 2024 года в сравнении с </a:t>
            </a:r>
            <a:r>
              <a:rPr lang="en-US" baseline="0"/>
              <a:t>I</a:t>
            </a:r>
            <a:r>
              <a:rPr lang="ru-RU" baseline="0"/>
              <a:t> кварталом 2023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 квартал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301904"/>
        <c:axId val="283302464"/>
      </c:barChart>
      <c:catAx>
        <c:axId val="2833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302464"/>
        <c:crosses val="autoZero"/>
        <c:auto val="1"/>
        <c:lblAlgn val="ctr"/>
        <c:lblOffset val="100"/>
        <c:noMultiLvlLbl val="0"/>
      </c:catAx>
      <c:valAx>
        <c:axId val="28330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3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</a:t>
            </a:r>
            <a:r>
              <a:rPr lang="en-US" sz="1000" b="1" baseline="0"/>
              <a:t> I </a:t>
            </a:r>
            <a:r>
              <a:rPr lang="ru-RU" sz="1000" b="1" baseline="0"/>
              <a:t> квартале</a:t>
            </a:r>
            <a:r>
              <a:rPr lang="ru-RU" sz="1000" b="1"/>
              <a:t> 2024 в сравнении с </a:t>
            </a:r>
            <a:r>
              <a:rPr lang="en-US" sz="1000" b="1"/>
              <a:t>I</a:t>
            </a:r>
            <a:r>
              <a:rPr lang="en-US" sz="1000" b="1" baseline="0"/>
              <a:t> </a:t>
            </a:r>
            <a:r>
              <a:rPr lang="ru-RU" sz="1000" b="1" baseline="0"/>
              <a:t> кварталом 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 квартал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I квартал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786320"/>
        <c:axId val="284786880"/>
      </c:barChart>
      <c:catAx>
        <c:axId val="28478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786880"/>
        <c:crosses val="autoZero"/>
        <c:auto val="1"/>
        <c:lblAlgn val="ctr"/>
        <c:lblOffset val="100"/>
        <c:noMultiLvlLbl val="0"/>
      </c:catAx>
      <c:valAx>
        <c:axId val="28478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78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ECD2-2131-42FB-8960-1E9ED85C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22</cp:revision>
  <cp:lastPrinted>2018-12-03T05:51:00Z</cp:lastPrinted>
  <dcterms:created xsi:type="dcterms:W3CDTF">2019-04-05T04:47:00Z</dcterms:created>
  <dcterms:modified xsi:type="dcterms:W3CDTF">2024-04-09T03:40:00Z</dcterms:modified>
</cp:coreProperties>
</file>