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92" w:rsidRPr="00E34B23" w:rsidRDefault="007D6B92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Кафедра политехнического и технологического образования</w:t>
      </w:r>
    </w:p>
    <w:p w:rsidR="007D6B92" w:rsidRPr="00E34B23" w:rsidRDefault="00A80139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hyperlink r:id="rId5" w:history="1">
        <w:r w:rsidR="007D6B92" w:rsidRPr="00E34B23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</w:rPr>
          <w:t>https://nipkipro.ru/info/struct/dep/88/staff/</w:t>
        </w:r>
      </w:hyperlink>
      <w:r w:rsidR="007D6B92"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Цели деятельности кафедры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Обновление и приведение в систему основных принципов преподавания ПО «Технология» в соответствии с положениями Федерального закона «Об образовании в Российской Федерации», Федеральных государственных образовательных стандартов основного и среднего (полного) общего образования (ФГОС ООО и ФГОС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С(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П)ОО), Профессиональным стандартом «Педагог (педагогическая деятельность в дошкольном, начальном общем, основном общем, среднем общем образовании) (воспитатель, учитель)», национальным проектом «Образование», федеральным проектом «Учитель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будущего», Национальной технологической инициативой, Программой «Цифровая экономика Российской Федерации», Концепцией преподавания предметной области «Технология», Государственной программой «Развитие образования» на 2018-2025 годы, Концепцией духовно-нравственного развития и воспитания личности гражданина России, Примерной программой воспитания для образовательных организаций общего образования, Концепцией развития инженерных компетенций в системе общего и дополнительного образования («школьное инженерное образование») в Новосибирской области для эффективного внедрения результатов научно-методического поиска в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систему непрерывной профессиональной подготовки и переподготовки учителя технологии.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 </w:t>
      </w:r>
    </w:p>
    <w:p w:rsidR="004032FE" w:rsidRPr="00E34B23" w:rsidRDefault="004032FE" w:rsidP="00403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Ознакомить учителей технологии с инновациями и современными требованиями к организации образовательного процесса с учётом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компетентностного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системно-деятельностного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мультимодульного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коммуникативного,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аксеологического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личностно-ориентированного подходов в преподавании ПО «Технология».</w:t>
      </w:r>
    </w:p>
    <w:p w:rsidR="004032FE" w:rsidRPr="00E34B23" w:rsidRDefault="004032FE" w:rsidP="00403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Помочь педагогам-технологам в освоении ими современных образовательных технологий, учебно-методического и информационно-методического обеспечения школьного технологического образования, разрешении реальных, насущных профессиональных проблем в условиях реализации ФГОС ООО и ФГОС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С(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П)ОО.</w:t>
      </w:r>
    </w:p>
    <w:p w:rsidR="004032FE" w:rsidRPr="00E34B23" w:rsidRDefault="004032FE" w:rsidP="00403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Обеспечить:</w:t>
      </w:r>
    </w:p>
    <w:p w:rsidR="004032FE" w:rsidRPr="00E34B23" w:rsidRDefault="004032FE" w:rsidP="004032F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научно-методическое сопровождение профессионального развития личности учителя технологии в системе повышения квалификации и профессиональной переподготовки;</w:t>
      </w:r>
    </w:p>
    <w:p w:rsidR="004032FE" w:rsidRPr="00E34B23" w:rsidRDefault="004032FE" w:rsidP="004032F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распространение результатов исследования психолого-педагогических, дидактических и методических аспектов профессионального развития личности учителя технологии через различные организационные формы на региональном уровне.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Направления деятельности 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Повышение профессиональной компетентности учителей технологии образования в ходе курсов, семинаров, консультаций, конференций и других форм организации образовательной деятельности.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Осуществление научно-методической и поисково-исследовательской работы по проблемам теории и практики технологического образования (повышение качества технологического образования, реализация требований ФГОС ООО и ФГОС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С(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П)ОО,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мультимодульный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подход в организации школьного технологического образования, формирование функциональной грамотности обучающихся и др.).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Разработка и публикация методических рекомендаций, учебных пособий и дидактических материалов по различным аспектам образовательной деятельности.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Оказание научно-методической помощи образовательным организациям - центрам образования цифрового и гуманитарного профилей «Точка роста», реализующим инновационные программы развития.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Рецензирование рабочих программ учебных предметов, учебных пособий, научных статей, методических рекомендаций, конкурсных и других материалов.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Взаимодействие по решению задач развития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мультимодульного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технологического образования с образовательными организациями города Новосибирска и Новосибирской области.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Научно-методическое консультирование учителей технологии в процессе их подготовки к аттестации.</w:t>
      </w:r>
    </w:p>
    <w:p w:rsidR="004032FE" w:rsidRPr="00E34B23" w:rsidRDefault="004032FE" w:rsidP="00403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Повышение квалификации и переподготовка работников образования, не имеющих квалификации «Учитель технологии», но реализующих </w:t>
      </w: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(или собирающихся реализовывать) образовательные программы ПО «Технология».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Формы обучения </w:t>
      </w:r>
    </w:p>
    <w:p w:rsidR="004032FE" w:rsidRPr="00E34B23" w:rsidRDefault="004032FE" w:rsidP="00403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Очная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(проблемные курсы, индивидуальные и групповые консультации, семинары).</w:t>
      </w:r>
    </w:p>
    <w:p w:rsidR="004032FE" w:rsidRPr="00E34B23" w:rsidRDefault="004032FE" w:rsidP="00403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Очно-заочная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(проблемные курсы с дистанционным модулем, дистанционные курсы, стажировки). </w:t>
      </w:r>
    </w:p>
    <w:p w:rsidR="004032FE" w:rsidRPr="00E34B23" w:rsidRDefault="004032FE" w:rsidP="00403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Заочная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(проблемные курсы с использованием дистанционных технологий и электронного обучения).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Виды занятий </w:t>
      </w:r>
    </w:p>
    <w:p w:rsidR="004032FE" w:rsidRPr="00E34B23" w:rsidRDefault="004032FE" w:rsidP="00403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проблемные лекции, в том числе диалоговые;</w:t>
      </w:r>
    </w:p>
    <w:p w:rsidR="004032FE" w:rsidRPr="00E34B23" w:rsidRDefault="004032FE" w:rsidP="00403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практикумы, тренинги, «круглые столы», деловые игры, посещение открытых занятий, мастер-классов;</w:t>
      </w:r>
    </w:p>
    <w:p w:rsidR="004032FE" w:rsidRPr="00E34B23" w:rsidRDefault="004032FE" w:rsidP="00403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анализ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видеоуроков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учебных занятий в образовательных учреждениях (школах, лицеях, гимназиях);</w:t>
      </w:r>
    </w:p>
    <w:p w:rsidR="004032FE" w:rsidRPr="00E34B23" w:rsidRDefault="004032FE" w:rsidP="00403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семинары и конференции.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Содержание повышение квалификации </w:t>
      </w:r>
    </w:p>
    <w:p w:rsidR="004032FE" w:rsidRPr="00E34B23" w:rsidRDefault="004032FE" w:rsidP="004032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особенности реализации требований ФГОС ООО и ФГОС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С(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П)ОО в контексте современной дидактики и частных методик обучения;</w:t>
      </w:r>
    </w:p>
    <w:p w:rsidR="004032FE" w:rsidRPr="00E34B23" w:rsidRDefault="004032FE" w:rsidP="004032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педагогическая деятельность в новых условиях: стандартизация и вариативность, требования к современному учебному занятию, особенности составления рабочих программ по технологии; требования к уровню подготовки обучающихся и специфика оценки достижения планируемых результатов; характеристика ПО «Технология» в контексте предметной концепции;</w:t>
      </w:r>
    </w:p>
    <w:p w:rsidR="004032FE" w:rsidRPr="00E34B23" w:rsidRDefault="004032FE" w:rsidP="004032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особенности реализации таких направлений ФГОС ООО и ФГОС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С(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П)ОО как формирование функциональной грамотности, универсальных учебных действий,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ИКТ-компетентности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; социализация, духовно-нравственное воспитание и развитие личности, формирование экологической культуры, культуры здорового и безопасного образа жизни обучающихся средствами учебного предмета «Технология» и внеурочной деятельности;</w:t>
      </w:r>
    </w:p>
    <w:p w:rsidR="004032FE" w:rsidRPr="00E34B23" w:rsidRDefault="004032FE" w:rsidP="004032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реализация идей стандарта средствами рекомендуемых Министерством образования и науки РФ УМК с учётом индивидуальных особенностей </w:t>
      </w: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и образовательных потребностей всех детей, включая обучающихся с ограниченными возможностями здоровья и одаренных школьников;</w:t>
      </w:r>
    </w:p>
    <w:p w:rsidR="004032FE" w:rsidRPr="00E34B23" w:rsidRDefault="004032FE" w:rsidP="004032F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современные образовательные технологии и методики как инструмент реализации ФГОС ООО, ФГОС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С(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П)ОО, предметной концепции и др.  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Техническое оснащение </w:t>
      </w:r>
    </w:p>
    <w:p w:rsidR="004032FE" w:rsidRPr="00E34B23" w:rsidRDefault="004032FE" w:rsidP="004032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Для проведения занятий кафедра располагает компьютерным классом на 14 рабочих мест.</w:t>
      </w:r>
    </w:p>
    <w:p w:rsidR="004032FE" w:rsidRPr="00E34B23" w:rsidRDefault="004032FE" w:rsidP="004032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Все компьютеры включены в локальную сеть и имеют выход в сеть Интернет.</w:t>
      </w:r>
    </w:p>
    <w:p w:rsidR="004032FE" w:rsidRPr="00E34B23" w:rsidRDefault="004032FE" w:rsidP="004032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 аудиториях также доступен Интернет по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Wi-Fi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(для мобильных устройств).</w:t>
      </w:r>
    </w:p>
    <w:p w:rsidR="004032FE" w:rsidRPr="00E34B23" w:rsidRDefault="004032FE" w:rsidP="004032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Во время проведения лекций, практик, семинаров, конференций используется проекционное оборудование, интерактивные доски, документ камеры, беспроводные системы голосования, графические планшеты и другое периферийное оборудование.</w:t>
      </w:r>
    </w:p>
    <w:p w:rsidR="004032FE" w:rsidRPr="00E34B23" w:rsidRDefault="004032FE" w:rsidP="004032F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Для проведения практических занятий по освоению и внедрению цифровых технологических модулей в практику школьного обучения кафедра имеет доступ к высокотехнологичным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ученико-местам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МБОУ «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Технополис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» (р.п.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Кольцово).</w:t>
      </w:r>
      <w:proofErr w:type="gramEnd"/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Адрес:  630007, г. Новосибирск, ул. </w:t>
      </w:r>
      <w:proofErr w:type="gram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Обская</w:t>
      </w:r>
      <w:proofErr w:type="gram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141, </w:t>
      </w: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каб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. 204.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Телефон (383) 269-12-13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Контактное лицо: Людмила Марковна Бекишева.</w:t>
      </w:r>
    </w:p>
    <w:p w:rsidR="004032FE" w:rsidRPr="00E34B23" w:rsidRDefault="004032FE" w:rsidP="004032FE">
      <w:pPr>
        <w:shd w:val="clear" w:color="auto" w:fill="FFFFFF"/>
        <w:spacing w:after="100" w:afterAutospacing="1" w:line="378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e-mail</w:t>
      </w:r>
      <w:proofErr w:type="spellEnd"/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: </w:t>
      </w:r>
      <w:hyperlink r:id="rId6" w:history="1">
        <w:r w:rsidRPr="00E34B23">
          <w:rPr>
            <w:rFonts w:ascii="Times New Roman" w:eastAsia="Times New Roman" w:hAnsi="Times New Roman" w:cs="Times New Roman"/>
            <w:color w:val="0D6EFD"/>
            <w:sz w:val="28"/>
            <w:szCs w:val="28"/>
            <w:u w:val="single"/>
          </w:rPr>
          <w:t>blm@edu54.ru</w:t>
        </w:r>
      </w:hyperlink>
      <w:r w:rsidRPr="00E34B23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51564B" w:rsidRPr="00E34B23" w:rsidRDefault="0051564B">
      <w:pPr>
        <w:rPr>
          <w:rFonts w:ascii="Times New Roman" w:hAnsi="Times New Roman" w:cs="Times New Roman"/>
          <w:sz w:val="28"/>
          <w:szCs w:val="28"/>
        </w:rPr>
      </w:pPr>
    </w:p>
    <w:sectPr w:rsidR="0051564B" w:rsidRPr="00E34B23" w:rsidSect="00A24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B44"/>
    <w:multiLevelType w:val="multilevel"/>
    <w:tmpl w:val="5C78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F56BF"/>
    <w:multiLevelType w:val="multilevel"/>
    <w:tmpl w:val="25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F2740"/>
    <w:multiLevelType w:val="multilevel"/>
    <w:tmpl w:val="910C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09B2"/>
    <w:multiLevelType w:val="multilevel"/>
    <w:tmpl w:val="3F0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8843C8"/>
    <w:multiLevelType w:val="multilevel"/>
    <w:tmpl w:val="41B4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163B6"/>
    <w:multiLevelType w:val="multilevel"/>
    <w:tmpl w:val="085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32FE"/>
    <w:rsid w:val="004032FE"/>
    <w:rsid w:val="0051564B"/>
    <w:rsid w:val="007D6B92"/>
    <w:rsid w:val="00A245FE"/>
    <w:rsid w:val="00A80139"/>
    <w:rsid w:val="00E3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03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m@edu54.ru" TargetMode="External"/><Relationship Id="rId5" Type="http://schemas.openxmlformats.org/officeDocument/2006/relationships/hyperlink" Target="https://nipkipro.ru/info/struct/dep/88/staf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987</Words>
  <Characters>5631</Characters>
  <Application>Microsoft Office Word</Application>
  <DocSecurity>0</DocSecurity>
  <Lines>46</Lines>
  <Paragraphs>13</Paragraphs>
  <ScaleCrop>false</ScaleCrop>
  <Company/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2022-10-12T02:32:00Z</dcterms:created>
  <dcterms:modified xsi:type="dcterms:W3CDTF">2023-06-21T03:27:00Z</dcterms:modified>
</cp:coreProperties>
</file>