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BB" w:rsidRDefault="00C05BBB" w:rsidP="00C05BBB">
      <w:pPr>
        <w:pStyle w:val="a9"/>
        <w:ind w:left="-426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ОПУБЛИКОВАНО </w:t>
      </w:r>
    </w:p>
    <w:p w:rsidR="00C05BBB" w:rsidRDefault="00C05BBB" w:rsidP="00C05BBB">
      <w:pPr>
        <w:pStyle w:val="a9"/>
        <w:ind w:left="-4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C05BBB" w:rsidRDefault="00C05BBB" w:rsidP="00C05BBB">
      <w:pPr>
        <w:pStyle w:val="a9"/>
        <w:ind w:left="-426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Болотнинского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района» №3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.1</w:t>
      </w:r>
      <w:r w:rsidRPr="00187F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.2022</w:t>
      </w:r>
    </w:p>
    <w:p w:rsidR="00C05BBB" w:rsidRDefault="00C05BBB" w:rsidP="00C05BBB">
      <w:pPr>
        <w:jc w:val="center"/>
        <w:rPr>
          <w:rFonts w:ascii="Arial" w:hAnsi="Arial" w:cs="Arial"/>
          <w:b/>
        </w:rPr>
      </w:pPr>
    </w:p>
    <w:p w:rsidR="00C05BBB" w:rsidRPr="00F47337" w:rsidRDefault="00C05BBB" w:rsidP="00C05BBB">
      <w:pPr>
        <w:jc w:val="center"/>
        <w:rPr>
          <w:rFonts w:ascii="Arial" w:hAnsi="Arial" w:cs="Arial"/>
          <w:b/>
        </w:rPr>
      </w:pPr>
    </w:p>
    <w:p w:rsidR="000A25D7" w:rsidRPr="00354FBE" w:rsidRDefault="000A25D7" w:rsidP="000A2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5D7" w:rsidRPr="00354FBE" w:rsidRDefault="000A25D7" w:rsidP="000A2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54FBE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0A25D7" w:rsidRPr="00354FBE" w:rsidRDefault="000A25D7" w:rsidP="000A2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54FBE">
        <w:rPr>
          <w:rFonts w:ascii="Arial" w:hAnsi="Arial" w:cs="Arial"/>
          <w:b/>
          <w:bCs/>
          <w:sz w:val="24"/>
          <w:szCs w:val="24"/>
        </w:rPr>
        <w:t xml:space="preserve"> БОЛОТНИНСКОГО РАЙОНА НОВОСИБИРСКОЙ ОБЛАСТИ</w:t>
      </w:r>
    </w:p>
    <w:p w:rsidR="000A25D7" w:rsidRPr="00354FBE" w:rsidRDefault="000A25D7" w:rsidP="000A25D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54FB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b/>
          <w:bCs/>
          <w:sz w:val="24"/>
          <w:szCs w:val="24"/>
        </w:rPr>
      </w:pP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354FBE">
        <w:rPr>
          <w:rFonts w:ascii="Arial" w:hAnsi="Arial" w:cs="Arial"/>
          <w:b/>
          <w:bCs/>
          <w:sz w:val="24"/>
          <w:szCs w:val="24"/>
        </w:rPr>
        <w:t xml:space="preserve">От </w:t>
      </w:r>
      <w:r w:rsidR="00354FBE">
        <w:rPr>
          <w:rFonts w:ascii="Arial" w:hAnsi="Arial" w:cs="Arial"/>
          <w:b/>
          <w:bCs/>
          <w:sz w:val="24"/>
          <w:szCs w:val="24"/>
        </w:rPr>
        <w:t xml:space="preserve">09.12.2022 </w:t>
      </w:r>
      <w:r w:rsidRPr="00354FBE">
        <w:rPr>
          <w:rFonts w:ascii="Arial" w:hAnsi="Arial" w:cs="Arial"/>
          <w:b/>
          <w:bCs/>
          <w:sz w:val="24"/>
          <w:szCs w:val="24"/>
        </w:rPr>
        <w:t>№</w:t>
      </w:r>
      <w:r w:rsidR="00354FBE">
        <w:rPr>
          <w:rFonts w:ascii="Arial" w:hAnsi="Arial" w:cs="Arial"/>
          <w:b/>
          <w:bCs/>
          <w:sz w:val="24"/>
          <w:szCs w:val="24"/>
        </w:rPr>
        <w:t>918</w:t>
      </w:r>
      <w:r w:rsidRPr="00354FB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hAnsi="Arial" w:cs="Arial"/>
          <w:sz w:val="24"/>
          <w:szCs w:val="24"/>
        </w:rPr>
        <w:t xml:space="preserve">О заключении концессионного соглашения в отношении </w:t>
      </w: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center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b/>
          <w:color w:val="000000"/>
          <w:spacing w:val="20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ab/>
        <w:t xml:space="preserve">В соответствии с Федеральными законами от 06.10.2003 </w:t>
      </w:r>
      <w:hyperlink r:id="rId5" w:history="1">
        <w:r w:rsidRPr="00354FBE">
          <w:rPr>
            <w:rFonts w:ascii="Arial" w:hAnsi="Arial" w:cs="Arial"/>
            <w:color w:val="0000FF"/>
            <w:sz w:val="24"/>
            <w:szCs w:val="24"/>
          </w:rPr>
          <w:t>N 131-ФЗ</w:t>
        </w:r>
      </w:hyperlink>
      <w:r w:rsidRPr="00354FBE">
        <w:rPr>
          <w:rFonts w:ascii="Arial" w:hAnsi="Arial" w:cs="Arial"/>
          <w:sz w:val="24"/>
          <w:szCs w:val="24"/>
        </w:rPr>
        <w:t xml:space="preserve"> "Об общих принципах организации местного самоуправления в Российской Федерации", от 21.07.2005 </w:t>
      </w:r>
      <w:hyperlink r:id="rId6" w:history="1">
        <w:r w:rsidRPr="00354FBE">
          <w:rPr>
            <w:rFonts w:ascii="Arial" w:hAnsi="Arial" w:cs="Arial"/>
            <w:color w:val="0000FF"/>
            <w:sz w:val="24"/>
            <w:szCs w:val="24"/>
          </w:rPr>
          <w:t>N 115-ФЗ</w:t>
        </w:r>
      </w:hyperlink>
      <w:r w:rsidRPr="00354FBE">
        <w:rPr>
          <w:rFonts w:ascii="Arial" w:hAnsi="Arial" w:cs="Arial"/>
          <w:sz w:val="24"/>
          <w:szCs w:val="24"/>
        </w:rPr>
        <w:t xml:space="preserve"> "О концессионных соглашениях", руководствуясь Уставом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области, </w:t>
      </w:r>
      <w:r w:rsidRPr="00354FBE">
        <w:rPr>
          <w:rFonts w:ascii="Arial" w:hAnsi="Arial" w:cs="Arial"/>
          <w:b/>
          <w:sz w:val="24"/>
          <w:szCs w:val="24"/>
        </w:rPr>
        <w:t>постановляет</w:t>
      </w:r>
      <w:r w:rsidRPr="00354FBE">
        <w:rPr>
          <w:rFonts w:ascii="Arial" w:hAnsi="Arial" w:cs="Arial"/>
          <w:sz w:val="24"/>
          <w:szCs w:val="24"/>
        </w:rPr>
        <w:t>: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hAnsi="Arial" w:cs="Arial"/>
          <w:color w:val="000000"/>
          <w:spacing w:val="20"/>
          <w:sz w:val="24"/>
          <w:szCs w:val="24"/>
        </w:rPr>
        <w:tab/>
        <w:t>1.</w:t>
      </w:r>
      <w:r w:rsidRPr="00354FBE">
        <w:rPr>
          <w:rFonts w:ascii="Arial" w:hAnsi="Arial" w:cs="Arial"/>
          <w:b/>
          <w:color w:val="000000"/>
          <w:spacing w:val="20"/>
          <w:sz w:val="24"/>
          <w:szCs w:val="24"/>
        </w:rPr>
        <w:t> </w:t>
      </w:r>
      <w:r w:rsidRPr="00354FBE">
        <w:rPr>
          <w:rFonts w:ascii="Arial" w:hAnsi="Arial" w:cs="Arial"/>
          <w:color w:val="000000"/>
          <w:sz w:val="24"/>
          <w:szCs w:val="24"/>
        </w:rPr>
        <w:t xml:space="preserve">Заключить в соответствии с законодательством концессионное соглашение в отношении </w:t>
      </w: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создания и эксплуатации полигона твердых коммунальных отходов с мусоросортировочной линией в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Болотнинском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районе Новосибирской области путем проведения открытого конкурса на право заключения концессионного соглашения (далее – конкурс).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2. В течение 5 дней со дня издания постановления утвердить конкурсную документацию, а также создать конкурсную комиссию по проведению конкурса и утвердить персональный состав конкурсной комиссии по проведению конкурса. В случае необходимости обеспечить внесение изменений в конкурсную документацию.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>3. Установить: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3.1. Условия </w:t>
      </w:r>
      <w:r w:rsidRPr="00354FBE">
        <w:rPr>
          <w:rFonts w:ascii="Arial" w:hAnsi="Arial" w:cs="Arial"/>
          <w:sz w:val="24"/>
          <w:szCs w:val="24"/>
        </w:rPr>
        <w:t xml:space="preserve">концессионного соглашения, критерии конкурса и параметры критериев конкурса согласно </w:t>
      </w:r>
      <w:proofErr w:type="gramStart"/>
      <w:r w:rsidRPr="00354FBE">
        <w:rPr>
          <w:rFonts w:ascii="Arial" w:hAnsi="Arial" w:cs="Arial"/>
          <w:sz w:val="24"/>
          <w:szCs w:val="24"/>
        </w:rPr>
        <w:t>приложению</w:t>
      </w:r>
      <w:proofErr w:type="gramEnd"/>
      <w:r w:rsidRPr="00354FBE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142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ab/>
        <w:t xml:space="preserve">3.2. Срок </w:t>
      </w:r>
      <w:r w:rsidRPr="00354FBE">
        <w:rPr>
          <w:rFonts w:ascii="Arial" w:hAnsi="Arial" w:cs="Arial"/>
          <w:sz w:val="24"/>
          <w:szCs w:val="24"/>
        </w:rPr>
        <w:t xml:space="preserve">опубликования в периодическом печатном издании «Официальный вестник»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области и размещения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официальном </w:t>
      </w: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сайте администрации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</w:t>
      </w:r>
      <w:r w:rsidRPr="00354FBE">
        <w:rPr>
          <w:rFonts w:ascii="Arial" w:hAnsi="Arial" w:cs="Arial"/>
          <w:sz w:val="24"/>
          <w:szCs w:val="24"/>
        </w:rPr>
        <w:t xml:space="preserve">в </w:t>
      </w: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информационно-телекоммуникационной сети «Интернет»</w:t>
      </w:r>
      <w:r w:rsidRPr="00354FBE">
        <w:rPr>
          <w:rFonts w:ascii="Arial" w:hAnsi="Arial" w:cs="Arial"/>
          <w:sz w:val="24"/>
          <w:szCs w:val="24"/>
        </w:rPr>
        <w:t xml:space="preserve"> сообщения о проведении конкурса - в течение 10 рабочих дней со дня утверждения конкурсной документации.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4. Конкурсной комиссии по проведению конкурса обеспечить опубликование в периодическом печатном издании «Официальный вестник»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области и размещение на официальном сайте Российской Федерации в информационно-телекоммуникационной сети "Интернет" для размещения информации о проведении торгов (www.torgi.gov.ru) и официальном сайте </w:t>
      </w: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администрации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Болотнинского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района Новосибирской области </w:t>
      </w:r>
      <w:r w:rsidRPr="00354FBE">
        <w:rPr>
          <w:rFonts w:ascii="Arial" w:hAnsi="Arial" w:cs="Arial"/>
          <w:sz w:val="24"/>
          <w:szCs w:val="24"/>
        </w:rPr>
        <w:t xml:space="preserve">в информационно-телекоммуникационной сети "Интернет" сообщения о проведении конкурса в срок, указанный в </w:t>
      </w:r>
      <w:hyperlink w:anchor="Par16" w:tooltip="2.2. Срок опубликования в периодическом печатном издании &quot;Бюллетень органов местного самоуправления города Новосибирска&quot; и размещения на официальном сайте Российской Федерации в информационно-телекоммуникационной сети &quot;Интернет&quot; для размещения информации о про" w:history="1">
        <w:r w:rsidRPr="00354FBE">
          <w:rPr>
            <w:rFonts w:ascii="Arial" w:hAnsi="Arial" w:cs="Arial"/>
            <w:color w:val="0000FF"/>
            <w:sz w:val="24"/>
            <w:szCs w:val="24"/>
          </w:rPr>
          <w:t>подпункте 3.2</w:t>
        </w:r>
      </w:hyperlink>
      <w:r w:rsidRPr="00354FBE">
        <w:rPr>
          <w:rFonts w:ascii="Arial" w:hAnsi="Arial" w:cs="Arial"/>
          <w:sz w:val="24"/>
          <w:szCs w:val="24"/>
        </w:rPr>
        <w:t xml:space="preserve"> настоящего постановления.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5. Управлению общественных связей администрации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обеспечить опубликование постановления.</w:t>
      </w:r>
    </w:p>
    <w:p w:rsidR="000A25D7" w:rsidRPr="00354FBE" w:rsidRDefault="000A25D7" w:rsidP="000A25D7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hAnsi="Arial" w:cs="Arial"/>
          <w:sz w:val="24"/>
          <w:szCs w:val="24"/>
        </w:rPr>
        <w:lastRenderedPageBreak/>
        <w:t xml:space="preserve">6. Контроль за исполнением настоящего постановления возложить на заместителя главы администрации </w:t>
      </w:r>
      <w:proofErr w:type="spellStart"/>
      <w:r w:rsidRPr="00354FBE">
        <w:rPr>
          <w:rFonts w:ascii="Arial" w:hAnsi="Arial" w:cs="Arial"/>
          <w:color w:val="000000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color w:val="000000"/>
          <w:sz w:val="24"/>
          <w:szCs w:val="24"/>
        </w:rPr>
        <w:t xml:space="preserve"> района Новосибирской области </w:t>
      </w:r>
      <w:proofErr w:type="spellStart"/>
      <w:r w:rsidRPr="00354FBE">
        <w:rPr>
          <w:rFonts w:ascii="Arial" w:hAnsi="Arial" w:cs="Arial"/>
          <w:sz w:val="24"/>
          <w:szCs w:val="24"/>
        </w:rPr>
        <w:t>Бабицкую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О.С.</w:t>
      </w:r>
    </w:p>
    <w:p w:rsidR="000A25D7" w:rsidRPr="00354FBE" w:rsidRDefault="000A25D7" w:rsidP="000A25D7">
      <w:pPr>
        <w:tabs>
          <w:tab w:val="left" w:pos="58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tabs>
          <w:tab w:val="left" w:pos="58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tabs>
          <w:tab w:val="left" w:pos="58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</w:t>
      </w:r>
    </w:p>
    <w:p w:rsidR="000A25D7" w:rsidRPr="00354FBE" w:rsidRDefault="000A25D7" w:rsidP="000A25D7">
      <w:pPr>
        <w:tabs>
          <w:tab w:val="left" w:pos="5820"/>
        </w:tabs>
        <w:spacing w:after="0"/>
        <w:ind w:left="-142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           О.В. Королёв</w:t>
      </w: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C05BBB" w:rsidRDefault="00C05BBB" w:rsidP="000A25D7">
      <w:pPr>
        <w:pStyle w:val="ConsPlusNormal"/>
        <w:jc w:val="right"/>
        <w:outlineLvl w:val="0"/>
        <w:rPr>
          <w:sz w:val="24"/>
          <w:szCs w:val="24"/>
        </w:rPr>
      </w:pPr>
    </w:p>
    <w:p w:rsidR="000A25D7" w:rsidRPr="00095728" w:rsidRDefault="000A25D7" w:rsidP="000A25D7">
      <w:pPr>
        <w:pStyle w:val="ConsPlusNormal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354FBE">
        <w:rPr>
          <w:sz w:val="24"/>
          <w:szCs w:val="24"/>
        </w:rPr>
        <w:lastRenderedPageBreak/>
        <w:t>Приложение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r w:rsidRPr="00354FBE">
        <w:rPr>
          <w:sz w:val="24"/>
          <w:szCs w:val="24"/>
        </w:rPr>
        <w:t>к постановлению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r w:rsidRPr="00354FBE">
        <w:rPr>
          <w:sz w:val="24"/>
          <w:szCs w:val="24"/>
        </w:rPr>
        <w:t xml:space="preserve">администрации 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proofErr w:type="spellStart"/>
      <w:r w:rsidRPr="00354FBE">
        <w:rPr>
          <w:sz w:val="24"/>
          <w:szCs w:val="24"/>
        </w:rPr>
        <w:t>Болотнинского</w:t>
      </w:r>
      <w:proofErr w:type="spellEnd"/>
      <w:r w:rsidRPr="00354FBE">
        <w:rPr>
          <w:sz w:val="24"/>
          <w:szCs w:val="24"/>
        </w:rPr>
        <w:t xml:space="preserve"> района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r w:rsidRPr="00354FBE">
        <w:rPr>
          <w:sz w:val="24"/>
          <w:szCs w:val="24"/>
        </w:rPr>
        <w:t>Новосибирской области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r w:rsidRPr="00354FBE">
        <w:rPr>
          <w:sz w:val="24"/>
          <w:szCs w:val="24"/>
        </w:rPr>
        <w:t xml:space="preserve">от </w:t>
      </w:r>
      <w:r w:rsidR="00095728">
        <w:rPr>
          <w:sz w:val="24"/>
          <w:szCs w:val="24"/>
        </w:rPr>
        <w:t>09.12.2022</w:t>
      </w:r>
      <w:r w:rsidRPr="00354FBE">
        <w:rPr>
          <w:sz w:val="24"/>
          <w:szCs w:val="24"/>
        </w:rPr>
        <w:t xml:space="preserve"> N </w:t>
      </w:r>
      <w:r w:rsidR="00095728">
        <w:rPr>
          <w:sz w:val="24"/>
          <w:szCs w:val="24"/>
        </w:rPr>
        <w:t>918</w:t>
      </w:r>
    </w:p>
    <w:p w:rsidR="000A25D7" w:rsidRPr="00354FBE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Title"/>
        <w:jc w:val="center"/>
      </w:pPr>
      <w:bookmarkStart w:id="1" w:name="Par38"/>
      <w:bookmarkEnd w:id="1"/>
      <w:r w:rsidRPr="00354FBE">
        <w:t>УСЛОВИЯ</w:t>
      </w:r>
    </w:p>
    <w:p w:rsidR="000A25D7" w:rsidRPr="00354FBE" w:rsidRDefault="000A25D7" w:rsidP="000A25D7">
      <w:pPr>
        <w:pStyle w:val="ConsPlusTitle"/>
        <w:jc w:val="center"/>
      </w:pPr>
      <w:r w:rsidRPr="00354FBE">
        <w:t>КОНЦЕССИОННОГО СОГЛАШЕНИЯ, КРИТЕРИИ ОТКРЫТОГО КОНКУРСА НА</w:t>
      </w:r>
    </w:p>
    <w:p w:rsidR="000A25D7" w:rsidRPr="00354FBE" w:rsidRDefault="000A25D7" w:rsidP="000A25D7">
      <w:pPr>
        <w:pStyle w:val="ConsPlusTitle"/>
        <w:jc w:val="center"/>
      </w:pPr>
      <w:r w:rsidRPr="00354FBE">
        <w:t>ПРАВО ЗАКЛЮЧЕНИЯ КОНЦЕССИОННОГО СОГЛАШЕНИЯ И ПАРАМЕТРЫ</w:t>
      </w:r>
    </w:p>
    <w:p w:rsidR="000A25D7" w:rsidRPr="00354FBE" w:rsidRDefault="000A25D7" w:rsidP="000A25D7">
      <w:pPr>
        <w:pStyle w:val="ConsPlusTitle"/>
        <w:jc w:val="center"/>
      </w:pPr>
      <w:r w:rsidRPr="00354FBE">
        <w:t>КРИТЕРИЕВ ОТКРЫТОГО КОНКУРСА НА ПРАВО ЗАКЛЮЧЕНИЯ</w:t>
      </w:r>
    </w:p>
    <w:p w:rsidR="000A25D7" w:rsidRPr="00354FBE" w:rsidRDefault="000A25D7" w:rsidP="000A25D7">
      <w:pPr>
        <w:pStyle w:val="ConsPlusTitle"/>
        <w:jc w:val="center"/>
      </w:pPr>
      <w:r w:rsidRPr="00354FBE">
        <w:t>КОНЦЕССИОННОГО СОГЛАШЕНИЯ (ДАЛЕЕ - УСЛОВИЯ)</w:t>
      </w:r>
    </w:p>
    <w:p w:rsidR="000A25D7" w:rsidRPr="00354FBE" w:rsidRDefault="000A25D7" w:rsidP="000A25D7">
      <w:pPr>
        <w:pStyle w:val="ConsPlusNormal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Title"/>
        <w:jc w:val="center"/>
        <w:outlineLvl w:val="1"/>
      </w:pPr>
      <w:r w:rsidRPr="00354FBE">
        <w:t>1. Условия концессионного соглашения</w:t>
      </w:r>
    </w:p>
    <w:p w:rsidR="000A25D7" w:rsidRPr="00354FBE" w:rsidRDefault="000A25D7" w:rsidP="000A25D7">
      <w:pPr>
        <w:widowControl w:val="0"/>
        <w:tabs>
          <w:tab w:val="left" w:pos="1701"/>
        </w:tabs>
        <w:suppressAutoHyphens/>
        <w:spacing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49"/>
      <w:bookmarkEnd w:id="2"/>
    </w:p>
    <w:p w:rsidR="000A25D7" w:rsidRPr="00354FBE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1.1. Объектом концессионного соглашения является полигон твердых коммунальных отходов (далее – ТКО) с мусоросортировочной линией в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районе Новосибирской области, состоящий из недвижимого и движимого имущества, технологически связанного между собой и предназначенного для осуществления деятельности по обработке и захоронению ТКО (далее – объект концессионного соглашения).</w:t>
      </w:r>
    </w:p>
    <w:p w:rsidR="000A25D7" w:rsidRPr="00354FBE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1.2. Описание объекта концессионного соглашения, в том числе технико-экономические показатели, приведены в Приложении № </w:t>
      </w:r>
      <w:hyperlink w:anchor="_Приложение_№_1" w:history="1">
        <w:r w:rsidRPr="00354FBE">
          <w:rPr>
            <w:rStyle w:val="a5"/>
            <w:rFonts w:ascii="Arial" w:eastAsiaTheme="minorHAnsi" w:hAnsi="Arial" w:cs="Arial"/>
            <w:kern w:val="12"/>
          </w:rPr>
          <w:t>1</w:t>
        </w:r>
      </w:hyperlink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к Условиям.</w:t>
      </w:r>
    </w:p>
    <w:p w:rsidR="000A25D7" w:rsidRPr="00354FBE" w:rsidRDefault="000A25D7" w:rsidP="000A25D7">
      <w:pPr>
        <w:widowControl w:val="0"/>
        <w:tabs>
          <w:tab w:val="left" w:pos="1701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eastAsia="Times New Roman" w:hAnsi="Arial" w:cs="Arial"/>
          <w:sz w:val="24"/>
          <w:szCs w:val="24"/>
          <w:lang w:eastAsia="ru-RU"/>
        </w:rPr>
        <w:t>Движимое имущество, входящее в состав объекта концессионного соглашения, в течение срока действия концессионного соглашения, может быть заменено концессионером на иное имущество, имеющее схожие характеристики и отвечающее требованиям проектной документации.</w:t>
      </w:r>
    </w:p>
    <w:p w:rsidR="000A25D7" w:rsidRPr="00354FBE" w:rsidRDefault="000A25D7" w:rsidP="000A25D7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1.3. Срок действия концессионного соглашения - 25 (двадцать пять) лет с даты его заключения.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 Концессионер обязан за свой счет: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1.4.1. И (или) за счет привлеченных инвестиций создать объект концессионного соглашения, отвечающий требованиям, установленным Приложением № 1 к Условиям.</w:t>
      </w:r>
      <w:r w:rsidRPr="00354FBE" w:rsidDel="00B82DFA">
        <w:rPr>
          <w:rFonts w:ascii="Arial" w:hAnsi="Arial" w:cs="Arial"/>
          <w:sz w:val="24"/>
          <w:szCs w:val="24"/>
        </w:rPr>
        <w:t xml:space="preserve"> </w:t>
      </w:r>
      <w:r w:rsidRPr="00354FBE">
        <w:rPr>
          <w:rFonts w:ascii="Arial" w:hAnsi="Arial" w:cs="Arial"/>
          <w:sz w:val="24"/>
          <w:szCs w:val="24"/>
        </w:rPr>
        <w:t xml:space="preserve">Срок, в течение которого осуществляется создание объекта концессионного соглашения, составляет не более 12 (двенадцати) месяцев с даты заключения концессионного соглашения. 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Обязательный объем инвестиций в создание объекта концессионного соглашения составляет 178 662 811 (сто семьдесят восемь миллионов шестьсот шестьдесят две тысячи восемьсот одиннадцать) рублей без НДС, исходя из цен на работы, услуги и материалы, существующих по состоянию на 01.01.2022 года.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1.4.2. Обеспечить государственную регистрацию: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- прав концессионера на владение и пользование недвижимым имуществом, входящим в состав объекта концессионного соглашения;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- прекращения прав владения и пользования концессионера на недвижимое имущество, входящее в состав объекта концессионного соглашения;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lastRenderedPageBreak/>
        <w:t>- договоров аренды земельных участков.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1.4.3. Использовать (эксплуатировать) объект концессионного соглашения в порядке, установленном концессионным соглашением в целях осуществления деятельности по обработке и захоронению ТКО.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Осуществлять деятельность по использованию (эксплуатации) объекта концессионного соглашения в соответствии с требованиями и в течение срока, установленных концессионным соглашением. 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1.4.4. Обеспечить </w:t>
      </w:r>
      <w:r w:rsidRPr="00354FBE">
        <w:rPr>
          <w:rFonts w:ascii="Arial" w:hAnsi="Arial" w:cs="Arial"/>
          <w:sz w:val="24"/>
          <w:szCs w:val="24"/>
          <w:lang w:bidi="ru-RU"/>
        </w:rPr>
        <w:t xml:space="preserve">представителям уполномоченных </w:t>
      </w:r>
      <w:proofErr w:type="spellStart"/>
      <w:r w:rsidRPr="00354FBE">
        <w:rPr>
          <w:rFonts w:ascii="Arial" w:hAnsi="Arial" w:cs="Arial"/>
          <w:sz w:val="24"/>
          <w:szCs w:val="24"/>
          <w:lang w:bidi="ru-RU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  <w:lang w:bidi="ru-RU"/>
        </w:rPr>
        <w:t xml:space="preserve"> органов или юридических лиц, осуществляющих контроль исполнения концессионером условий концессионного соглашения</w:t>
      </w:r>
      <w:r w:rsidRPr="00354FBE">
        <w:rPr>
          <w:rFonts w:ascii="Arial" w:hAnsi="Arial" w:cs="Arial"/>
          <w:sz w:val="24"/>
          <w:szCs w:val="24"/>
        </w:rPr>
        <w:t xml:space="preserve"> беспрепятственный доступ к объекту концессионного соглашения, а также к документации, относящейся к осуществлению деятельности по Концессионному соглашению.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1.4.5. Предоставить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концеденту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один из следующих видов обеспечения исполнения обязательств по концессионному соглашению: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- предоставление безотзывной банковской гарантии; 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- передача концессионером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концеденту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 залог прав концессионера по договору банковского вклада (депозита);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- осуществление страхования риска ответственности концессионера за нарушение обязательств по концессионному соглашению.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Обеспечение исполнения обязательств по концессионному соглашению предоставляется Концессионером на весь период действия концессионного соглашения в следующем порядке и размере: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а) обеспечение предоставляется на дату заключения концессионного соглашения и должно быть действительно с даты заключения концессионного соглашения до даты начала эксплуатации объекта концессионного соглашения. Размер ежегодного, предоставляемого обеспечения составляет 6 000 000 (шесть миллионов) рублей;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б) обеспечение предоставляется не позднее даты начала эксплуатации объекта концессионного соглашения и должно быть действительно с даты начала эксплуатации объекта концессионного соглашения до даты истечения срока действия концессионного соглашения. Размер ежегодного, предоставляемого обеспечения составляет 3 000 000 (три миллиона) рублей.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  <w:lang w:bidi="ru-RU"/>
        </w:rPr>
        <w:t>При предоставлении документов, подтверждающих обеспечение исполнения обязательств по концессионному соглашению, концессионер обязан предоставить документы (копии, заверенные соответствующей организацией и концессионером), подтверждающие выполнение концессионером требований законодательства Российской Федерации в отношении банков, предоставляющих безотзывные банковские гарантии, банков, в которых может быть открыт банковский вклад (депозит) концессионера, и в отношении страховых организаций, с которыми концессионер может заключить договор страхования риска ответственности за нарушение обязательств по концессионному соглашению (в зависимости от выбранного способа обеспечения исполнения обязательств по Концессионному соглашению).</w:t>
      </w:r>
    </w:p>
    <w:p w:rsidR="000A25D7" w:rsidRPr="00354FBE" w:rsidRDefault="000A25D7" w:rsidP="000A25D7">
      <w:pPr>
        <w:tabs>
          <w:tab w:val="center" w:pos="524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lastRenderedPageBreak/>
        <w:t>1.4.6. </w:t>
      </w:r>
      <w:r w:rsidRPr="00354FBE">
        <w:rPr>
          <w:rFonts w:ascii="Arial" w:hAnsi="Arial" w:cs="Arial"/>
          <w:sz w:val="24"/>
          <w:szCs w:val="24"/>
          <w:lang w:bidi="ru-RU"/>
        </w:rPr>
        <w:t xml:space="preserve">Нести риск случайной гибели или случайного повреждения объекта концессионного соглашения до момента передачи объекта концессионного соглашения </w:t>
      </w:r>
      <w:proofErr w:type="spellStart"/>
      <w:r w:rsidRPr="00354FBE">
        <w:rPr>
          <w:rFonts w:ascii="Arial" w:hAnsi="Arial" w:cs="Arial"/>
          <w:sz w:val="24"/>
          <w:szCs w:val="24"/>
          <w:lang w:bidi="ru-RU"/>
        </w:rPr>
        <w:t>концеденту</w:t>
      </w:r>
      <w:proofErr w:type="spellEnd"/>
      <w:r w:rsidRPr="00354FBE">
        <w:rPr>
          <w:rFonts w:ascii="Arial" w:hAnsi="Arial" w:cs="Arial"/>
          <w:sz w:val="24"/>
          <w:szCs w:val="24"/>
          <w:lang w:bidi="ru-RU"/>
        </w:rPr>
        <w:t xml:space="preserve"> в связи с прекращением концессионного соглашения.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1.4.7. Поддерживать объект концессионного соглашения в исправном состоянии, производить за свой счет текущий и капитальный ремонты (в случае обоснованной необходимости), а также нести расходы на содержание объекта концессионного соглашения в соответствии с регламентом эксплуатации объекта концессионного соглашения, который должен быть разработан концессионером и согласован с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 течение 60 (шестидесяти) рабочих дней после получения концессионером разрешения на строительство объекта концессионного соглашения.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1.4.8. Уплатить концессионную плату </w:t>
      </w:r>
      <w:proofErr w:type="spellStart"/>
      <w:r w:rsidRPr="00354FBE">
        <w:rPr>
          <w:rFonts w:ascii="Arial" w:hAnsi="Arial" w:cs="Arial"/>
          <w:sz w:val="24"/>
          <w:szCs w:val="24"/>
        </w:rPr>
        <w:t>единоразово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 размере 1 200 000 (один миллион двести тысяч) рублей, включая налог на добавленную стоимость, не позднее 180 дней со дня ввода объекта соглашения в эксплуатацию.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Концессионная плата перечисляется концессионером на счет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концедента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, указываемый в письменном распоряжении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концедента</w:t>
      </w:r>
      <w:proofErr w:type="spellEnd"/>
      <w:r w:rsidRPr="00354FBE">
        <w:rPr>
          <w:rFonts w:ascii="Arial" w:hAnsi="Arial" w:cs="Arial"/>
          <w:sz w:val="24"/>
          <w:szCs w:val="24"/>
        </w:rPr>
        <w:t>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i/>
          <w:strike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1.4.9. Самостоятельно и (или) с привлечением иных лиц осуществлять действия по подготовке территории и созданию инженерных сетей и коммуникаций (в том числе по созданию инженерных сетей и коммуникаций за пределами предоставляемых концессионеру земельных участков), обеспечению получения технических (технологических) условий концессионеру для присоединения к существующим сетям и источникам.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1.4.10. Передать объект концессионного соглашения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концеденту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 последний день срока действия концессионного соглашения в порядке, предусмотренном концессионным соглашением.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1.4.11. Исполнять иные обязанности, вытекающие из условий заключенного концессионного соглашения и положений законодательства.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1.5.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обязан: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1.5.1 Предоставить концессионеру права на земельные участки в срок не более 60 (шестидесяти) рабочих дней с даты заключения концессионного соглашения, путем заключения с концессионером договоров о предоставлении земельных участков на праве аренды, на которых будет расположен объект концессионного соглашения и которые необходимы для осуществления концессионером деятельности, предусмотренной концессионным соглашением.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Размер арендной платы за земельные участки определяется в соответствии требованиями решения Совета депутатов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области от 22.04.2021 года № 54 «Об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области и предоставленные в аренду без проведения торгов», определяется на основании кадастровой стоимости земельного участка  и рассчитывается в размере 0,3 процента в отношении земельного участка представленного (занятого) для размещения объектов, утилизирующих твердые коммунальные отходы методом их сортировки и переработки. 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1.5.2 Обеспечить взаимодействие с органами местного самоуправления муниципальных образований на территории </w:t>
      </w:r>
      <w:proofErr w:type="spellStart"/>
      <w:r w:rsidRPr="00354FBE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района Новосибирской </w:t>
      </w:r>
      <w:r w:rsidRPr="00354FBE">
        <w:rPr>
          <w:rFonts w:ascii="Arial" w:hAnsi="Arial" w:cs="Arial"/>
          <w:sz w:val="24"/>
          <w:szCs w:val="24"/>
        </w:rPr>
        <w:lastRenderedPageBreak/>
        <w:t xml:space="preserve">области в случаях, необходимых для реализации концессионного соглашения, в пределах компетенций и полномочий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концедента</w:t>
      </w:r>
      <w:proofErr w:type="spellEnd"/>
      <w:r w:rsidRPr="00354FBE">
        <w:rPr>
          <w:rFonts w:ascii="Arial" w:hAnsi="Arial" w:cs="Arial"/>
          <w:sz w:val="24"/>
          <w:szCs w:val="24"/>
        </w:rPr>
        <w:t>.</w:t>
      </w:r>
    </w:p>
    <w:p w:rsidR="000A25D7" w:rsidRPr="00354FBE" w:rsidRDefault="000A25D7" w:rsidP="000A25D7">
      <w:pPr>
        <w:widowControl w:val="0"/>
        <w:tabs>
          <w:tab w:val="left" w:pos="1699"/>
        </w:tabs>
        <w:suppressAutoHyphens/>
        <w:spacing w:after="120"/>
        <w:ind w:firstLine="709"/>
        <w:jc w:val="both"/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</w:pPr>
      <w:r w:rsidRPr="00354FBE">
        <w:rPr>
          <w:rFonts w:ascii="Arial" w:hAnsi="Arial" w:cs="Arial"/>
          <w:sz w:val="24"/>
          <w:szCs w:val="24"/>
        </w:rPr>
        <w:t xml:space="preserve">1.5.3. 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Концедент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указанным объектом в срок, установленный разделом</w:t>
      </w:r>
      <w:hyperlink w:anchor="bookmark54" w:tooltip="Current Document">
        <w:r w:rsidRPr="00354FBE">
          <w:rPr>
            <w:rFonts w:ascii="Arial" w:eastAsia="Times New Roman" w:hAnsi="Arial" w:cs="Arial"/>
            <w:kern w:val="12"/>
            <w:sz w:val="24"/>
            <w:szCs w:val="24"/>
            <w:lang w:eastAsia="ru-RU" w:bidi="ru-RU"/>
          </w:rPr>
          <w:t xml:space="preserve"> 9 </w:t>
        </w:r>
      </w:hyperlink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концессионного соглашения. Во избежание сомнений движимое имущество </w:t>
      </w:r>
      <w:proofErr w:type="spellStart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>концедента</w:t>
      </w:r>
      <w:proofErr w:type="spellEnd"/>
      <w:r w:rsidRPr="00354FBE">
        <w:rPr>
          <w:rFonts w:ascii="Arial" w:eastAsia="Times New Roman" w:hAnsi="Arial" w:cs="Arial"/>
          <w:kern w:val="12"/>
          <w:sz w:val="24"/>
          <w:szCs w:val="24"/>
          <w:lang w:eastAsia="ru-RU" w:bidi="ru-RU"/>
        </w:rPr>
        <w:t xml:space="preserve"> является движимым имуществом, являющимся неотъемлемой составной частью объекта соглашения.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54FBE">
        <w:rPr>
          <w:rFonts w:ascii="Arial" w:hAnsi="Arial" w:cs="Arial"/>
          <w:sz w:val="24"/>
          <w:szCs w:val="24"/>
        </w:rPr>
        <w:t>1.5.4. П</w:t>
      </w:r>
      <w:r w:rsidRPr="00354FBE">
        <w:rPr>
          <w:rFonts w:ascii="Arial" w:hAnsi="Arial" w:cs="Arial"/>
          <w:sz w:val="24"/>
          <w:szCs w:val="24"/>
          <w:lang w:bidi="ru-RU"/>
        </w:rPr>
        <w:t>ередать концессионеру оригинал проектной документации в срок не более 15 (пятнадцати) рабочих дней с даты заключения концессионного соглашения.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354FBE">
        <w:rPr>
          <w:rFonts w:ascii="Arial" w:hAnsi="Arial" w:cs="Arial"/>
          <w:sz w:val="24"/>
          <w:szCs w:val="24"/>
          <w:lang w:bidi="ru-RU"/>
        </w:rPr>
        <w:t>1.5.5. Осуществить выплату капитального гранта в размере, определенном по результатам проведения конкурса.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  <w:lang w:bidi="ru-RU"/>
        </w:rPr>
        <w:t xml:space="preserve">Капитальный грант выплачивается </w:t>
      </w:r>
      <w:proofErr w:type="spellStart"/>
      <w:r w:rsidRPr="00354FBE">
        <w:rPr>
          <w:rFonts w:ascii="Arial" w:hAnsi="Arial" w:cs="Arial"/>
          <w:sz w:val="24"/>
          <w:szCs w:val="24"/>
          <w:lang w:bidi="ru-RU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  <w:lang w:bidi="ru-RU"/>
        </w:rPr>
        <w:t xml:space="preserve"> Концессионеру в форме субсидии в соответствии с законодательством.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1.5.6. Исполнять иные обязанности, вытекающие из условий заключенного Концессионного соглашения и положений законодательства.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1.6. За неисполнение или ненадлежащее исполнение обязательств по концессионному соглашению стороны несут ответственность, предусмотренную законодательством и концессионным соглашением.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1.6.1. Концессионер несет ответственность перед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за допущенное концессионером при создании объекта концессионного соглашения нарушение требований: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а) установленных концессионным соглашением;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б) технических регламентов;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в) проектной документации (оптимизированной проектной документации);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г) иных обязательных требований к качеству объекта концессионного соглашения, установленных законодательством и концессионным соглашением.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1.6.2. В случае нарушения требований, указанных в пункте 1.6.1,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обязан в течение 3 (трех) рабочих дней с даты обнаружения нарушения или несоответствия направить концессионеру в письменной форме требование безвозмездно устранить обнаруженное нарушение с указанием пункта концессионного соглашения и (или) документа, требования которых нарушены в установленный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разумный срок за счет концессионера.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1.6.3.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вправе потребовать от концессионера возмещения причиненных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концеденту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убытков, вызванных нарушением концессионером требований, указанных в пункте 1.6.1, если эти нарушения не были устранены концессионером в срок, определенный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в требовании об устранении нарушений, предусмотренном пунктом 1.6.2.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1.6.4. Концессионер несет перед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ответственность за качество работ по созданию в отношении объекта концессионного соглашения, в течение 5 (пяти) лет со дня ввода в эксплуатацию.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lastRenderedPageBreak/>
        <w:t xml:space="preserve">1.6.5. Концессионер несет ответственность перед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концедентом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за состав, объем и качество оказываемых услуг с использованием имущества, входящего в объект концессионного соглашения.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 xml:space="preserve">1.7. Стороны имеют право на возмещение убытков, возникших в результате неисполнения (в том числе уклонения концессионера или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концедента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от подписания акта приема-передачи) или ненадлежащего исполнения другой стороной обязательств, предусмотренных концессионным соглашением.</w:t>
      </w:r>
    </w:p>
    <w:p w:rsidR="000A25D7" w:rsidRPr="00354FBE" w:rsidRDefault="000A25D7" w:rsidP="000A25D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1.8. </w:t>
      </w:r>
      <w:r w:rsidRPr="00354FBE" w:rsidDel="00A81481">
        <w:rPr>
          <w:rFonts w:ascii="Arial" w:hAnsi="Arial" w:cs="Arial"/>
          <w:sz w:val="24"/>
          <w:szCs w:val="24"/>
        </w:rPr>
        <w:t xml:space="preserve"> </w:t>
      </w:r>
      <w:r w:rsidRPr="00354FBE">
        <w:rPr>
          <w:rFonts w:ascii="Arial" w:hAnsi="Arial" w:cs="Arial"/>
          <w:sz w:val="24"/>
          <w:szCs w:val="24"/>
        </w:rPr>
        <w:t xml:space="preserve">В случае досрочного прекращения концессионного соглашения </w:t>
      </w:r>
      <w:proofErr w:type="spellStart"/>
      <w:r w:rsidRPr="00354FBE">
        <w:rPr>
          <w:rFonts w:ascii="Arial" w:hAnsi="Arial" w:cs="Arial"/>
          <w:sz w:val="24"/>
          <w:szCs w:val="24"/>
        </w:rPr>
        <w:t>концедент</w:t>
      </w:r>
      <w:proofErr w:type="spellEnd"/>
      <w:r w:rsidRPr="00354FBE">
        <w:rPr>
          <w:rFonts w:ascii="Arial" w:hAnsi="Arial" w:cs="Arial"/>
          <w:sz w:val="24"/>
          <w:szCs w:val="24"/>
        </w:rPr>
        <w:t xml:space="preserve"> обязан выплатить компенсацию при прекращении в размере и в порядке, предусмотренном концессионным соглашением.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1.9. Концессионное соглашение может содержать иные условия, не противоречащие действующему законодательству.</w:t>
      </w:r>
    </w:p>
    <w:p w:rsidR="000A25D7" w:rsidRPr="00354FBE" w:rsidRDefault="000A25D7" w:rsidP="000A25D7">
      <w:pPr>
        <w:pStyle w:val="ConsPlusNormal"/>
        <w:spacing w:before="240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Title"/>
        <w:jc w:val="center"/>
        <w:outlineLvl w:val="1"/>
      </w:pPr>
      <w:r w:rsidRPr="00354FBE">
        <w:t>2. Критерии открытого конкурса на право заключения</w:t>
      </w:r>
    </w:p>
    <w:p w:rsidR="000A25D7" w:rsidRPr="00354FBE" w:rsidRDefault="000A25D7" w:rsidP="000A25D7">
      <w:pPr>
        <w:pStyle w:val="ConsPlusTitle"/>
        <w:jc w:val="center"/>
      </w:pPr>
      <w:r w:rsidRPr="00354FBE">
        <w:t>концессионного соглашения и параметры критериев открытого</w:t>
      </w:r>
    </w:p>
    <w:p w:rsidR="000A25D7" w:rsidRPr="00354FBE" w:rsidRDefault="000A25D7" w:rsidP="000A25D7">
      <w:pPr>
        <w:pStyle w:val="ConsPlusTitle"/>
        <w:jc w:val="center"/>
      </w:pPr>
      <w:r w:rsidRPr="00354FBE">
        <w:t>конкурса на право заключения концессионного соглашения</w:t>
      </w:r>
    </w:p>
    <w:p w:rsidR="000A25D7" w:rsidRPr="00354FBE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2.1. Размер капитального гранта устанавливается по результатам проведения конкурса на право заключения концессионного соглашения.</w:t>
      </w:r>
    </w:p>
    <w:p w:rsidR="000A25D7" w:rsidRPr="00354FBE" w:rsidRDefault="000A25D7" w:rsidP="000A25D7">
      <w:pPr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Начальный размер капитального гранта составляет (70 000 000) семьдесят миллионов рублей 00 копеек, без НДС.</w:t>
      </w:r>
    </w:p>
    <w:p w:rsidR="000A25D7" w:rsidRPr="00354FBE" w:rsidRDefault="000A25D7" w:rsidP="000A25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54FBE">
        <w:rPr>
          <w:rFonts w:ascii="Arial" w:hAnsi="Arial" w:cs="Arial"/>
          <w:sz w:val="24"/>
          <w:szCs w:val="24"/>
        </w:rPr>
        <w:t>2.2. Параметры критерия открытого конкурса на право заключения концессионного соглашения: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8"/>
        <w:gridCol w:w="1744"/>
        <w:gridCol w:w="2597"/>
        <w:gridCol w:w="1985"/>
      </w:tblGrid>
      <w:tr w:rsidR="000A25D7" w:rsidRPr="00354FBE" w:rsidTr="006613DD">
        <w:tc>
          <w:tcPr>
            <w:tcW w:w="709" w:type="dxa"/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№</w:t>
            </w:r>
            <w:r w:rsidRPr="00354FB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354FB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88" w:type="dxa"/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Критерий конкурса</w:t>
            </w:r>
          </w:p>
        </w:tc>
        <w:tc>
          <w:tcPr>
            <w:tcW w:w="1744" w:type="dxa"/>
          </w:tcPr>
          <w:p w:rsidR="000A25D7" w:rsidRPr="00354FBE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Начальное значение</w:t>
            </w:r>
          </w:p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критерия конкурса, рублей</w:t>
            </w:r>
          </w:p>
        </w:tc>
        <w:tc>
          <w:tcPr>
            <w:tcW w:w="2597" w:type="dxa"/>
          </w:tcPr>
          <w:p w:rsidR="000A25D7" w:rsidRPr="00354FBE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Уменьшение</w:t>
            </w:r>
          </w:p>
          <w:p w:rsidR="000A25D7" w:rsidRPr="00354FBE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или увеличение</w:t>
            </w:r>
          </w:p>
          <w:p w:rsidR="000A25D7" w:rsidRPr="00354FBE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начального</w:t>
            </w:r>
          </w:p>
          <w:p w:rsidR="000A25D7" w:rsidRPr="00354FBE" w:rsidRDefault="000A25D7" w:rsidP="00661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значения критерия конкурса</w:t>
            </w:r>
          </w:p>
        </w:tc>
        <w:tc>
          <w:tcPr>
            <w:tcW w:w="1985" w:type="dxa"/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Коэффициент, учитывающий</w:t>
            </w:r>
            <w:r w:rsidRPr="00354FBE">
              <w:rPr>
                <w:rFonts w:ascii="Arial" w:hAnsi="Arial" w:cs="Arial"/>
                <w:sz w:val="24"/>
                <w:szCs w:val="24"/>
              </w:rPr>
              <w:br/>
              <w:t>значимость</w:t>
            </w:r>
          </w:p>
          <w:p w:rsidR="000A25D7" w:rsidRPr="00354FBE" w:rsidRDefault="000A25D7" w:rsidP="006613DD">
            <w:pPr>
              <w:autoSpaceDE w:val="0"/>
              <w:autoSpaceDN w:val="0"/>
              <w:adjustRightInd w:val="0"/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критерия</w:t>
            </w:r>
          </w:p>
          <w:p w:rsidR="000A25D7" w:rsidRPr="00354FBE" w:rsidRDefault="000A25D7" w:rsidP="006613DD">
            <w:pPr>
              <w:ind w:firstLine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конкурса</w:t>
            </w:r>
          </w:p>
        </w:tc>
      </w:tr>
    </w:tbl>
    <w:p w:rsidR="000A25D7" w:rsidRPr="00354FBE" w:rsidRDefault="000A25D7" w:rsidP="000A25D7">
      <w:pPr>
        <w:ind w:firstLine="567"/>
        <w:rPr>
          <w:rFonts w:ascii="Arial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88"/>
        <w:gridCol w:w="1744"/>
        <w:gridCol w:w="2597"/>
        <w:gridCol w:w="1985"/>
      </w:tblGrid>
      <w:tr w:rsidR="000A25D7" w:rsidRPr="00354FBE" w:rsidTr="006613DD">
        <w:trPr>
          <w:trHeight w:val="32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A25D7" w:rsidRPr="00354FBE" w:rsidTr="006613DD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Размер капитального гранта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70 000 000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Уменьшение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ConsPlusNormal"/>
        <w:jc w:val="right"/>
        <w:outlineLvl w:val="1"/>
        <w:rPr>
          <w:sz w:val="24"/>
          <w:szCs w:val="24"/>
        </w:rPr>
      </w:pPr>
      <w:r w:rsidRPr="00354FBE">
        <w:rPr>
          <w:sz w:val="24"/>
          <w:szCs w:val="24"/>
        </w:rPr>
        <w:lastRenderedPageBreak/>
        <w:t>Приложение 1</w:t>
      </w:r>
    </w:p>
    <w:p w:rsidR="000A25D7" w:rsidRPr="00354FBE" w:rsidRDefault="000A25D7" w:rsidP="000A25D7">
      <w:pPr>
        <w:pStyle w:val="ConsPlusNormal"/>
        <w:jc w:val="right"/>
        <w:rPr>
          <w:sz w:val="24"/>
          <w:szCs w:val="24"/>
        </w:rPr>
      </w:pPr>
      <w:r w:rsidRPr="00354FBE">
        <w:rPr>
          <w:sz w:val="24"/>
          <w:szCs w:val="24"/>
        </w:rPr>
        <w:t>к Условиям</w:t>
      </w:r>
    </w:p>
    <w:p w:rsidR="000A25D7" w:rsidRPr="00354FBE" w:rsidRDefault="000A25D7" w:rsidP="000A25D7">
      <w:pPr>
        <w:pStyle w:val="ConsPlusNormal"/>
        <w:ind w:firstLine="540"/>
        <w:jc w:val="both"/>
        <w:rPr>
          <w:sz w:val="24"/>
          <w:szCs w:val="24"/>
        </w:rPr>
      </w:pPr>
    </w:p>
    <w:p w:rsidR="000A25D7" w:rsidRPr="00354FBE" w:rsidRDefault="000A25D7" w:rsidP="000A25D7">
      <w:pPr>
        <w:pStyle w:val="Default"/>
        <w:jc w:val="center"/>
        <w:rPr>
          <w:rFonts w:ascii="Arial" w:hAnsi="Arial" w:cs="Arial"/>
        </w:rPr>
      </w:pPr>
      <w:bookmarkStart w:id="3" w:name="Par160"/>
      <w:bookmarkEnd w:id="3"/>
      <w:r w:rsidRPr="00354FBE">
        <w:rPr>
          <w:rFonts w:ascii="Arial" w:hAnsi="Arial" w:cs="Arial"/>
          <w:b/>
        </w:rPr>
        <w:t>ОПИСАНИЕ И ТЕХНИКО-ЭКОНОМИЧЕСКИЕ ПОКАЗАТЕЛИ ОБЪЕКТА КОНЦЕССИОННОГО СОГЛАШЕНИЯ</w:t>
      </w:r>
      <w:r w:rsidRPr="00354FBE">
        <w:rPr>
          <w:rFonts w:ascii="Arial" w:hAnsi="Arial" w:cs="Arial"/>
        </w:rPr>
        <w:t xml:space="preserve"> </w:t>
      </w:r>
    </w:p>
    <w:p w:rsidR="000A25D7" w:rsidRPr="00354FBE" w:rsidRDefault="000A25D7" w:rsidP="000A25D7">
      <w:pPr>
        <w:tabs>
          <w:tab w:val="left" w:pos="1701"/>
        </w:tabs>
        <w:suppressAutoHyphens/>
        <w:spacing w:after="120"/>
        <w:jc w:val="both"/>
        <w:rPr>
          <w:rFonts w:ascii="Arial" w:eastAsia="Calibri" w:hAnsi="Arial" w:cs="Arial"/>
          <w:color w:val="000000"/>
          <w:kern w:val="12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 xml:space="preserve">1. Полигон ТКО в </w:t>
      </w:r>
      <w:proofErr w:type="spellStart"/>
      <w:r w:rsidRPr="00354FBE">
        <w:rPr>
          <w:rFonts w:ascii="Arial" w:eastAsia="Calibri" w:hAnsi="Arial" w:cs="Arial"/>
          <w:color w:val="000000"/>
          <w:sz w:val="24"/>
          <w:szCs w:val="24"/>
        </w:rPr>
        <w:t>Болотнинском</w:t>
      </w:r>
      <w:proofErr w:type="spellEnd"/>
      <w:r w:rsidRPr="00354FBE">
        <w:rPr>
          <w:rFonts w:ascii="Arial" w:eastAsia="Calibri" w:hAnsi="Arial" w:cs="Arial"/>
          <w:color w:val="000000"/>
          <w:sz w:val="24"/>
          <w:szCs w:val="24"/>
        </w:rPr>
        <w:t xml:space="preserve"> районе представляет систему коммунальной инфраструктуры, включающую линию сортировки и Полигон ТКО. Создание указанного объекта и зона обслуживания предусмотрены постановлением Правительства Новосибирской области от 26.09.2016 №292-п «Об утверждении территориальной схемы обращения с отходами в том числе с твёрдыми коммунальными отходами». </w:t>
      </w:r>
    </w:p>
    <w:p w:rsidR="000A25D7" w:rsidRPr="00354FBE" w:rsidRDefault="000A25D7" w:rsidP="000A25D7">
      <w:pPr>
        <w:spacing w:after="120" w:line="264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2. Перечень недвижимого и движимого имущества в составе линии обработки: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73"/>
        <w:gridCol w:w="1816"/>
        <w:gridCol w:w="1807"/>
        <w:gridCol w:w="2035"/>
      </w:tblGrid>
      <w:tr w:rsidR="000A25D7" w:rsidRPr="00354FBE" w:rsidTr="006613DD">
        <w:tc>
          <w:tcPr>
            <w:tcW w:w="56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№п/п№</w:t>
            </w:r>
          </w:p>
        </w:tc>
        <w:tc>
          <w:tcPr>
            <w:tcW w:w="3273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16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807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03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354FBE" w:rsidTr="006613DD">
        <w:tc>
          <w:tcPr>
            <w:tcW w:w="56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3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Сооружение для линии сортировки </w:t>
            </w:r>
          </w:p>
        </w:tc>
        <w:tc>
          <w:tcPr>
            <w:tcW w:w="1816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807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rPr>
          <w:trHeight w:val="206"/>
        </w:trPr>
        <w:tc>
          <w:tcPr>
            <w:tcW w:w="56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3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Линия сортировки ТКО</w:t>
            </w:r>
          </w:p>
        </w:tc>
        <w:tc>
          <w:tcPr>
            <w:tcW w:w="1816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807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</w:tbl>
    <w:tbl>
      <w:tblPr>
        <w:tblpPr w:leftFromText="180" w:rightFromText="180" w:vertAnchor="text" w:horzAnchor="margin" w:tblpY="1063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4139"/>
        <w:gridCol w:w="1525"/>
        <w:gridCol w:w="1594"/>
        <w:gridCol w:w="1559"/>
      </w:tblGrid>
      <w:tr w:rsidR="000A25D7" w:rsidRPr="00354FBE" w:rsidTr="006613DD">
        <w:trPr>
          <w:trHeight w:val="425"/>
        </w:trPr>
        <w:tc>
          <w:tcPr>
            <w:tcW w:w="681" w:type="dxa"/>
          </w:tcPr>
          <w:p w:rsidR="000A25D7" w:rsidRPr="00354FBE" w:rsidRDefault="000A25D7" w:rsidP="006613DD">
            <w:pPr>
              <w:ind w:firstLine="567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п/п№</w:t>
            </w:r>
          </w:p>
        </w:tc>
        <w:tc>
          <w:tcPr>
            <w:tcW w:w="4139" w:type="dxa"/>
            <w:vAlign w:val="center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25" w:type="dxa"/>
            <w:vAlign w:val="center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594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vAlign w:val="center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</w:t>
            </w:r>
          </w:p>
        </w:tc>
      </w:tr>
      <w:tr w:rsidR="000A25D7" w:rsidRPr="00354FBE" w:rsidTr="006613DD">
        <w:trPr>
          <w:trHeight w:val="385"/>
        </w:trPr>
        <w:tc>
          <w:tcPr>
            <w:tcW w:w="681" w:type="dxa"/>
          </w:tcPr>
          <w:p w:rsidR="000A25D7" w:rsidRPr="00354FBE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ind w:firstLine="63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Трактор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Мощность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60кВт (80л.с.)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A25D7" w:rsidRPr="00354FBE" w:rsidTr="006613DD">
        <w:trPr>
          <w:trHeight w:val="995"/>
        </w:trPr>
        <w:tc>
          <w:tcPr>
            <w:tcW w:w="681" w:type="dxa"/>
          </w:tcPr>
          <w:p w:rsidR="000A25D7" w:rsidRPr="00354FBE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а</w:t>
            </w:r>
          </w:p>
          <w:p w:rsidR="000A25D7" w:rsidRPr="00354FBE" w:rsidRDefault="000A25D7" w:rsidP="006613DD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а2.</w:t>
            </w:r>
          </w:p>
        </w:tc>
        <w:tc>
          <w:tcPr>
            <w:tcW w:w="4139" w:type="dxa"/>
          </w:tcPr>
          <w:p w:rsidR="000A25D7" w:rsidRPr="00354FBE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Погрузчик фронтальный</w:t>
            </w:r>
          </w:p>
        </w:tc>
        <w:tc>
          <w:tcPr>
            <w:tcW w:w="1525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Емкость ковша, куб. м.</w:t>
            </w:r>
          </w:p>
        </w:tc>
        <w:tc>
          <w:tcPr>
            <w:tcW w:w="1594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559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0A25D7" w:rsidRPr="00354FBE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3.  Перечень специальной техники, применяемой при эксплуатации линии обработки:</w:t>
      </w:r>
    </w:p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Линия обработки должна обеспечить приемку ТКО, поступающих как в результате смешанного, так и в результате раздельного накопления ТКО.</w:t>
      </w:r>
    </w:p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4. Описание и технико-экономические показатели линии сортировки приведены в таблице:</w:t>
      </w:r>
    </w:p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245"/>
        <w:gridCol w:w="1985"/>
        <w:gridCol w:w="1842"/>
      </w:tblGrid>
      <w:tr w:rsidR="000A25D7" w:rsidRPr="00354FBE" w:rsidTr="006613DD">
        <w:trPr>
          <w:trHeight w:val="425"/>
        </w:trPr>
        <w:tc>
          <w:tcPr>
            <w:tcW w:w="539" w:type="dxa"/>
          </w:tcPr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№п/п№</w:t>
            </w:r>
          </w:p>
        </w:tc>
        <w:tc>
          <w:tcPr>
            <w:tcW w:w="5245" w:type="dxa"/>
            <w:vAlign w:val="center"/>
          </w:tcPr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85" w:type="dxa"/>
            <w:vAlign w:val="center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Единицы </w:t>
            </w:r>
          </w:p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vAlign w:val="center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Значение</w:t>
            </w:r>
          </w:p>
        </w:tc>
      </w:tr>
      <w:tr w:rsidR="000A25D7" w:rsidRPr="00354FBE" w:rsidTr="006613DD">
        <w:trPr>
          <w:trHeight w:val="385"/>
        </w:trPr>
        <w:tc>
          <w:tcPr>
            <w:tcW w:w="539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Срок эксплуатации</w:t>
            </w:r>
          </w:p>
        </w:tc>
        <w:tc>
          <w:tcPr>
            <w:tcW w:w="1985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842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0A25D7" w:rsidRPr="00354FBE" w:rsidTr="006613DD">
        <w:trPr>
          <w:trHeight w:val="287"/>
        </w:trPr>
        <w:tc>
          <w:tcPr>
            <w:tcW w:w="539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45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Ежегодная мощность принимаемых на обработку ТКО</w:t>
            </w:r>
          </w:p>
        </w:tc>
        <w:tc>
          <w:tcPr>
            <w:tcW w:w="1985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тыс. тонн/год</w:t>
            </w:r>
          </w:p>
        </w:tc>
        <w:tc>
          <w:tcPr>
            <w:tcW w:w="1842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0A25D7" w:rsidRPr="00354FBE" w:rsidTr="006613DD">
        <w:trPr>
          <w:trHeight w:val="109"/>
        </w:trPr>
        <w:tc>
          <w:tcPr>
            <w:tcW w:w="539" w:type="dxa"/>
          </w:tcPr>
          <w:p w:rsidR="000A25D7" w:rsidRPr="00354FBE" w:rsidRDefault="000A25D7" w:rsidP="006613DD">
            <w:pPr>
              <w:tabs>
                <w:tab w:val="right" w:pos="181"/>
                <w:tab w:val="center" w:pos="445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ab/>
              <w:t>3.</w:t>
            </w:r>
          </w:p>
        </w:tc>
        <w:tc>
          <w:tcPr>
            <w:tcW w:w="5245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Доля ТКО, направляемых на утилизацию в массе ТКО, поступающих на обработку</w:t>
            </w:r>
          </w:p>
        </w:tc>
        <w:tc>
          <w:tcPr>
            <w:tcW w:w="1985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0A25D7" w:rsidRPr="00354FBE" w:rsidRDefault="000A25D7" w:rsidP="006613DD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 менее 25</w:t>
            </w:r>
          </w:p>
        </w:tc>
      </w:tr>
    </w:tbl>
    <w:p w:rsidR="000A25D7" w:rsidRPr="00354FBE" w:rsidRDefault="000A25D7" w:rsidP="000A25D7">
      <w:pPr>
        <w:spacing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ind w:left="-426" w:firstLine="34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5. Перечень недвижимого и движимого имущества в составе Полигона ТКО: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984"/>
        <w:gridCol w:w="1701"/>
        <w:gridCol w:w="2552"/>
      </w:tblGrid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№№ п/п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участок складирования (захоронения) ТКО (карты для захоронения ТКО)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хозяйственная зона: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административно-бытовой корпус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контрольно-пропускной пункт совместно с пунктом стационарного радиометрического контроля; весовой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гараж и площадка с навесами и мастерскими для стоянки и ремонта машин и механизмов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склад горюче-смазочных материалов, строительных материалов, спецодежды, хозяйственного инвентаря;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пожарный резервуар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место для стоянки автомобилей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F31616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</w:t>
            </w:r>
            <w:r w:rsidR="000A25D7"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контрольно-дезинфицирующая зона с устройством железобетонной ванны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ограждение по периметру объекта 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</w:tbl>
    <w:p w:rsidR="000A25D7" w:rsidRPr="00354FBE" w:rsidRDefault="000A25D7" w:rsidP="000A25D7">
      <w:pPr>
        <w:spacing w:after="120" w:line="264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after="120" w:line="264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6. Перечень специальной техники, применяемой при эксплуатации полигона ТКО сформирован на основании Инструкции по проектированию, эксплуатации и рекультивации полигонов для твёрдых бытовых отходов, утверждённой Министерством строительства РФ от 02.11.1996г.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418"/>
        <w:gridCol w:w="1701"/>
        <w:gridCol w:w="1701"/>
      </w:tblGrid>
      <w:tr w:rsidR="000A25D7" w:rsidRPr="00354FBE" w:rsidTr="006613DD">
        <w:trPr>
          <w:trHeight w:val="425"/>
        </w:trPr>
        <w:tc>
          <w:tcPr>
            <w:tcW w:w="567" w:type="dxa"/>
          </w:tcPr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 №п/п</w:t>
            </w:r>
          </w:p>
        </w:tc>
        <w:tc>
          <w:tcPr>
            <w:tcW w:w="4111" w:type="dxa"/>
            <w:vAlign w:val="center"/>
          </w:tcPr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701" w:type="dxa"/>
            <w:vAlign w:val="center"/>
          </w:tcPr>
          <w:p w:rsidR="000A25D7" w:rsidRPr="00354FBE" w:rsidRDefault="000A25D7" w:rsidP="006613DD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единиц</w:t>
            </w:r>
          </w:p>
        </w:tc>
      </w:tr>
      <w:tr w:rsidR="000A25D7" w:rsidRPr="00354FBE" w:rsidTr="006613DD">
        <w:trPr>
          <w:trHeight w:val="385"/>
        </w:trPr>
        <w:tc>
          <w:tcPr>
            <w:tcW w:w="567" w:type="dxa"/>
          </w:tcPr>
          <w:p w:rsidR="000A25D7" w:rsidRPr="00354FBE" w:rsidRDefault="000A25D7" w:rsidP="00661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0A25D7" w:rsidRPr="00354FBE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Бульдозер (средней мощности)</w:t>
            </w:r>
          </w:p>
        </w:tc>
        <w:tc>
          <w:tcPr>
            <w:tcW w:w="1418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proofErr w:type="spellStart"/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л.с</w:t>
            </w:r>
            <w:proofErr w:type="spellEnd"/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125 </w:t>
            </w:r>
            <w:proofErr w:type="spellStart"/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л.с</w:t>
            </w:r>
            <w:proofErr w:type="spellEnd"/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0A25D7" w:rsidRPr="00354FBE" w:rsidTr="006613DD">
        <w:trPr>
          <w:trHeight w:val="400"/>
        </w:trPr>
        <w:tc>
          <w:tcPr>
            <w:tcW w:w="567" w:type="dxa"/>
          </w:tcPr>
          <w:p w:rsidR="000A25D7" w:rsidRPr="00354FBE" w:rsidRDefault="000A25D7" w:rsidP="006613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0A25D7" w:rsidRPr="00354FBE" w:rsidRDefault="000A25D7" w:rsidP="006613DD">
            <w:pPr>
              <w:ind w:firstLine="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FBE">
              <w:rPr>
                <w:rFonts w:ascii="Arial" w:hAnsi="Arial" w:cs="Arial"/>
                <w:sz w:val="24"/>
                <w:szCs w:val="24"/>
              </w:rPr>
              <w:t>Автоцистерна</w:t>
            </w:r>
          </w:p>
        </w:tc>
        <w:tc>
          <w:tcPr>
            <w:tcW w:w="1418" w:type="dxa"/>
          </w:tcPr>
          <w:p w:rsidR="000A25D7" w:rsidRPr="00354FBE" w:rsidRDefault="000A25D7" w:rsidP="006613DD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Емкость, м3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ind w:firstLine="63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0A25D7" w:rsidRPr="00354FBE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A25D7" w:rsidRPr="00354FBE" w:rsidRDefault="000A25D7" w:rsidP="000A25D7">
      <w:pPr>
        <w:spacing w:before="120" w:after="120" w:line="264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354FBE">
        <w:rPr>
          <w:rFonts w:ascii="Arial" w:eastAsia="Calibri" w:hAnsi="Arial" w:cs="Arial"/>
          <w:color w:val="000000"/>
          <w:sz w:val="24"/>
          <w:szCs w:val="24"/>
        </w:rPr>
        <w:t>7. Инженерные сооружения и коммуникации для полигона ТКО и линии обработки: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1984"/>
        <w:gridCol w:w="1701"/>
        <w:gridCol w:w="2552"/>
      </w:tblGrid>
      <w:tr w:rsidR="000A25D7" w:rsidRPr="00354FBE" w:rsidTr="006613DD">
        <w:tc>
          <w:tcPr>
            <w:tcW w:w="67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№ п/п№</w:t>
            </w:r>
          </w:p>
        </w:tc>
        <w:tc>
          <w:tcPr>
            <w:tcW w:w="2581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 (движимое)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Количество, ед. (не менее)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 (некапитальное)</w:t>
            </w:r>
          </w:p>
        </w:tc>
      </w:tr>
      <w:tr w:rsidR="000A25D7" w:rsidRPr="00354FBE" w:rsidTr="006613DD">
        <w:tc>
          <w:tcPr>
            <w:tcW w:w="67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81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система освещения и видеоконтроля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354FBE" w:rsidTr="006613DD">
        <w:tc>
          <w:tcPr>
            <w:tcW w:w="67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81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линии электроснабжения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  <w:tr w:rsidR="000A25D7" w:rsidRPr="00354FBE" w:rsidTr="006613DD">
        <w:tc>
          <w:tcPr>
            <w:tcW w:w="67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81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линия наружного освещения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движимое</w:t>
            </w:r>
          </w:p>
        </w:tc>
        <w:tc>
          <w:tcPr>
            <w:tcW w:w="1701" w:type="dxa"/>
          </w:tcPr>
          <w:p w:rsidR="000A25D7" w:rsidRPr="00354FBE" w:rsidRDefault="000A25D7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некапитальное</w:t>
            </w:r>
          </w:p>
        </w:tc>
      </w:tr>
      <w:tr w:rsidR="000A25D7" w:rsidRPr="00354FBE" w:rsidTr="006613DD">
        <w:tc>
          <w:tcPr>
            <w:tcW w:w="675" w:type="dxa"/>
          </w:tcPr>
          <w:p w:rsidR="000A25D7" w:rsidRPr="00354FBE" w:rsidRDefault="000A25D7" w:rsidP="006613DD">
            <w:pPr>
              <w:spacing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81" w:type="dxa"/>
          </w:tcPr>
          <w:p w:rsidR="000A25D7" w:rsidRPr="00354FBE" w:rsidRDefault="000A25D7" w:rsidP="006613DD">
            <w:pPr>
              <w:spacing w:before="120" w:after="120" w:line="264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Наблюдательная скважина</w:t>
            </w:r>
          </w:p>
        </w:tc>
        <w:tc>
          <w:tcPr>
            <w:tcW w:w="1984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недвижимое</w:t>
            </w:r>
          </w:p>
        </w:tc>
        <w:tc>
          <w:tcPr>
            <w:tcW w:w="1701" w:type="dxa"/>
          </w:tcPr>
          <w:p w:rsidR="000A25D7" w:rsidRPr="00354FBE" w:rsidRDefault="00F31616" w:rsidP="006613DD">
            <w:pPr>
              <w:spacing w:after="120" w:line="264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A25D7" w:rsidRPr="00354FBE" w:rsidRDefault="000A25D7" w:rsidP="006613DD">
            <w:pPr>
              <w:spacing w:after="120" w:line="264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t>капитальное</w:t>
            </w:r>
          </w:p>
        </w:tc>
      </w:tr>
    </w:tbl>
    <w:p w:rsidR="000A25D7" w:rsidRPr="00354FBE" w:rsidRDefault="000A25D7" w:rsidP="000A25D7">
      <w:pPr>
        <w:jc w:val="both"/>
        <w:rPr>
          <w:rFonts w:ascii="Arial" w:eastAsia="Calibri" w:hAnsi="Arial" w:cs="Arial"/>
          <w:sz w:val="24"/>
          <w:szCs w:val="24"/>
        </w:rPr>
      </w:pPr>
    </w:p>
    <w:p w:rsidR="000A25D7" w:rsidRPr="00354FBE" w:rsidRDefault="000A25D7" w:rsidP="000A25D7">
      <w:pPr>
        <w:jc w:val="both"/>
        <w:rPr>
          <w:rFonts w:ascii="Arial" w:eastAsia="Calibri" w:hAnsi="Arial" w:cs="Arial"/>
          <w:sz w:val="24"/>
          <w:szCs w:val="24"/>
        </w:rPr>
      </w:pPr>
      <w:r w:rsidRPr="00354FBE">
        <w:rPr>
          <w:rFonts w:ascii="Arial" w:eastAsia="Calibri" w:hAnsi="Arial" w:cs="Arial"/>
          <w:sz w:val="24"/>
          <w:szCs w:val="24"/>
        </w:rPr>
        <w:t>8. Предполагаемый морфологический состав отходов, размещаемых на объекте размещения отходов: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410"/>
      </w:tblGrid>
      <w:tr w:rsidR="000A25D7" w:rsidRPr="00354FBE" w:rsidTr="006613DD">
        <w:tc>
          <w:tcPr>
            <w:tcW w:w="704" w:type="dxa"/>
          </w:tcPr>
          <w:p w:rsidR="000A25D7" w:rsidRPr="00354FBE" w:rsidRDefault="000A25D7" w:rsidP="006613DD">
            <w:pPr>
              <w:tabs>
                <w:tab w:val="left" w:pos="1200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color w:val="000000"/>
                <w:sz w:val="24"/>
                <w:szCs w:val="24"/>
              </w:rPr>
              <w:lastRenderedPageBreak/>
              <w:t>п/п №</w:t>
            </w:r>
          </w:p>
        </w:tc>
        <w:tc>
          <w:tcPr>
            <w:tcW w:w="6379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Компонент отходов</w:t>
            </w:r>
          </w:p>
        </w:tc>
        <w:tc>
          <w:tcPr>
            <w:tcW w:w="2410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Процент от общего объема отходов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Полимерные материалы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11,38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Картон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6,11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Черный металл (железо)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11,93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Пищевые отходы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15,03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F31616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Строительные  отходы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21,24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 xml:space="preserve">Древесина 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6,32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F31616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Стекло</w:t>
            </w:r>
          </w:p>
        </w:tc>
        <w:tc>
          <w:tcPr>
            <w:tcW w:w="2410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10,0</w:t>
            </w:r>
          </w:p>
        </w:tc>
      </w:tr>
      <w:tr w:rsidR="000A25D7" w:rsidRPr="00354FBE" w:rsidTr="006613DD">
        <w:tc>
          <w:tcPr>
            <w:tcW w:w="704" w:type="dxa"/>
            <w:vAlign w:val="center"/>
          </w:tcPr>
          <w:p w:rsidR="000A25D7" w:rsidRPr="00354FBE" w:rsidRDefault="000A25D7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6379" w:type="dxa"/>
            <w:vAlign w:val="center"/>
          </w:tcPr>
          <w:p w:rsidR="000A25D7" w:rsidRPr="00354FBE" w:rsidRDefault="00F3161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 xml:space="preserve">Резина </w:t>
            </w:r>
          </w:p>
        </w:tc>
        <w:tc>
          <w:tcPr>
            <w:tcW w:w="2410" w:type="dxa"/>
            <w:vAlign w:val="center"/>
          </w:tcPr>
          <w:p w:rsidR="000A25D7" w:rsidRPr="00354FBE" w:rsidRDefault="008E37E6" w:rsidP="006613DD">
            <w:pPr>
              <w:tabs>
                <w:tab w:val="left" w:pos="1200"/>
              </w:tabs>
              <w:rPr>
                <w:rFonts w:ascii="Arial" w:eastAsia="Calibri" w:hAnsi="Arial" w:cs="Arial"/>
                <w:sz w:val="24"/>
                <w:szCs w:val="24"/>
              </w:rPr>
            </w:pPr>
            <w:r w:rsidRPr="00354FBE">
              <w:rPr>
                <w:rFonts w:ascii="Arial" w:eastAsia="Calibri" w:hAnsi="Arial" w:cs="Arial"/>
                <w:sz w:val="24"/>
                <w:szCs w:val="24"/>
              </w:rPr>
              <w:t>17,99</w:t>
            </w:r>
          </w:p>
        </w:tc>
      </w:tr>
    </w:tbl>
    <w:p w:rsidR="00C66862" w:rsidRPr="00354FBE" w:rsidRDefault="00C66862">
      <w:pPr>
        <w:rPr>
          <w:rFonts w:ascii="Arial" w:hAnsi="Arial" w:cs="Arial"/>
          <w:sz w:val="24"/>
          <w:szCs w:val="24"/>
        </w:rPr>
      </w:pPr>
    </w:p>
    <w:sectPr w:rsidR="00C66862" w:rsidRPr="00354FBE" w:rsidSect="00EF2CB7">
      <w:pgSz w:w="11907" w:h="16839" w:code="9"/>
      <w:pgMar w:top="1134" w:right="567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D43F7"/>
    <w:multiLevelType w:val="multilevel"/>
    <w:tmpl w:val="6B7E27F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C7"/>
    <w:rsid w:val="00095728"/>
    <w:rsid w:val="000A25D7"/>
    <w:rsid w:val="00354FBE"/>
    <w:rsid w:val="006919C7"/>
    <w:rsid w:val="008E37E6"/>
    <w:rsid w:val="00C05BBB"/>
    <w:rsid w:val="00C66862"/>
    <w:rsid w:val="00F3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2244"/>
  <w15:chartTrackingRefBased/>
  <w15:docId w15:val="{98022D1B-AAEA-43E4-BEA3-57AE3451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A25D7"/>
    <w:pPr>
      <w:spacing w:after="225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A25D7"/>
    <w:rPr>
      <w:color w:val="0000FF"/>
      <w:u w:val="single"/>
    </w:rPr>
  </w:style>
  <w:style w:type="paragraph" w:customStyle="1" w:styleId="ConsPlusNormal">
    <w:name w:val="ConsPlusNormal"/>
    <w:qFormat/>
    <w:rsid w:val="000A25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A2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A25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">
    <w:name w:val="Гиперссылки"/>
    <w:basedOn w:val="a0"/>
    <w:link w:val="a5"/>
    <w:qFormat/>
    <w:rsid w:val="000A25D7"/>
    <w:pPr>
      <w:widowControl w:val="0"/>
      <w:numPr>
        <w:ilvl w:val="1"/>
        <w:numId w:val="1"/>
      </w:numPr>
      <w:tabs>
        <w:tab w:val="left" w:pos="1703"/>
      </w:tabs>
      <w:suppressAutoHyphens/>
      <w:spacing w:after="120"/>
      <w:ind w:firstLine="709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  <w:style w:type="character" w:customStyle="1" w:styleId="a5">
    <w:name w:val="Гиперссылки Знак"/>
    <w:basedOn w:val="a1"/>
    <w:link w:val="a"/>
    <w:rsid w:val="000A25D7"/>
    <w:rPr>
      <w:rFonts w:ascii="Times New Roman" w:eastAsia="Times New Roman" w:hAnsi="Times New Roman" w:cs="Times New Roman"/>
      <w:kern w:val="2"/>
      <w:sz w:val="24"/>
      <w:szCs w:val="24"/>
      <w:lang w:eastAsia="ru-RU" w:bidi="ru-RU"/>
    </w:rPr>
  </w:style>
  <w:style w:type="table" w:customStyle="1" w:styleId="1">
    <w:name w:val="Сетка таблицы1"/>
    <w:basedOn w:val="a2"/>
    <w:next w:val="a6"/>
    <w:uiPriority w:val="59"/>
    <w:rsid w:val="000A25D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2"/>
    <w:uiPriority w:val="39"/>
    <w:rsid w:val="000A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F3161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F31616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C05B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C05B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14917&amp;date=03.08.2022" TargetMode="External"/><Relationship Id="rId5" Type="http://schemas.openxmlformats.org/officeDocument/2006/relationships/hyperlink" Target="https://login.consultant.ru/link/?req=doc&amp;base=LAW&amp;n=357117&amp;date=03.08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Шиповалова Юлия Андреевна</dc:creator>
  <cp:keywords/>
  <dc:description/>
  <cp:lastModifiedBy>Щегловский Максим Сергеевич</cp:lastModifiedBy>
  <cp:revision>7</cp:revision>
  <cp:lastPrinted>2022-12-08T09:21:00Z</cp:lastPrinted>
  <dcterms:created xsi:type="dcterms:W3CDTF">2022-12-08T03:30:00Z</dcterms:created>
  <dcterms:modified xsi:type="dcterms:W3CDTF">2022-12-16T06:08:00Z</dcterms:modified>
</cp:coreProperties>
</file>