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976"/>
      </w:tblGrid>
      <w:tr w:rsidR="003657BF" w:rsidRPr="003657BF" w:rsidTr="003657BF">
        <w:tc>
          <w:tcPr>
            <w:tcW w:w="5068" w:type="dxa"/>
          </w:tcPr>
          <w:p w:rsidR="003657BF" w:rsidRPr="003657BF" w:rsidRDefault="003657BF" w:rsidP="00365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5069" w:type="dxa"/>
            <w:hideMark/>
          </w:tcPr>
          <w:p w:rsidR="003657BF" w:rsidRPr="003657BF" w:rsidRDefault="003657BF" w:rsidP="00365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ОПУБЛИКОВАНО </w:t>
            </w:r>
          </w:p>
          <w:p w:rsidR="003657BF" w:rsidRPr="003657BF" w:rsidRDefault="003657BF" w:rsidP="00365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«Официальный вестник </w:t>
            </w:r>
          </w:p>
          <w:p w:rsidR="003657BF" w:rsidRPr="003657BF" w:rsidRDefault="003657BF" w:rsidP="00365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proofErr w:type="spellStart"/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района» </w:t>
            </w:r>
          </w:p>
          <w:p w:rsidR="003657BF" w:rsidRPr="003657BF" w:rsidRDefault="003657BF" w:rsidP="003657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от 19.11.2019 № 30</w:t>
            </w:r>
          </w:p>
        </w:tc>
      </w:tr>
    </w:tbl>
    <w:p w:rsidR="003657BF" w:rsidRPr="003657BF" w:rsidRDefault="003657BF" w:rsidP="003657BF">
      <w:pPr>
        <w:pStyle w:val="ConsPlusNonformat"/>
        <w:widowControl/>
        <w:jc w:val="center"/>
        <w:rPr>
          <w:rFonts w:ascii="Arial" w:eastAsia="Calibri" w:hAnsi="Arial" w:cs="Arial"/>
          <w:sz w:val="24"/>
          <w:szCs w:val="24"/>
          <w:u w:color="000000"/>
          <w:lang w:eastAsia="en-US"/>
        </w:rPr>
      </w:pPr>
    </w:p>
    <w:p w:rsidR="003657BF" w:rsidRPr="003657BF" w:rsidRDefault="003657BF" w:rsidP="003657BF">
      <w:pPr>
        <w:pStyle w:val="ConsPlusNonformat"/>
        <w:widowControl/>
        <w:jc w:val="center"/>
        <w:rPr>
          <w:rFonts w:ascii="Arial" w:eastAsia="Calibri" w:hAnsi="Arial" w:cs="Arial"/>
          <w:sz w:val="24"/>
          <w:szCs w:val="24"/>
          <w:u w:color="000000"/>
          <w:lang w:eastAsia="en-US"/>
        </w:rPr>
      </w:pPr>
    </w:p>
    <w:p w:rsidR="003657BF" w:rsidRPr="003657BF" w:rsidRDefault="003657BF" w:rsidP="003657BF">
      <w:pPr>
        <w:pStyle w:val="ConsPlusNonformat"/>
        <w:widowControl/>
        <w:jc w:val="center"/>
        <w:rPr>
          <w:rFonts w:ascii="Arial" w:eastAsia="Calibri" w:hAnsi="Arial" w:cs="Arial"/>
          <w:sz w:val="24"/>
          <w:szCs w:val="24"/>
          <w:u w:color="000000"/>
          <w:lang w:eastAsia="en-US"/>
        </w:rPr>
      </w:pPr>
    </w:p>
    <w:p w:rsidR="006477B4" w:rsidRPr="003657BF" w:rsidRDefault="006477B4" w:rsidP="003657BF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>АДМИНИСТРАЦИЯ</w:t>
      </w:r>
    </w:p>
    <w:p w:rsidR="003657BF" w:rsidRPr="003657BF" w:rsidRDefault="006477B4" w:rsidP="003657BF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3657BF" w:rsidRPr="003657BF" w:rsidRDefault="003657BF" w:rsidP="003657BF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6477B4" w:rsidRPr="003657BF" w:rsidRDefault="006477B4" w:rsidP="003657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>ПОСТАНОВЛЕНИЕ</w:t>
      </w:r>
    </w:p>
    <w:p w:rsidR="003657BF" w:rsidRPr="003657BF" w:rsidRDefault="003657BF" w:rsidP="00365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77B4" w:rsidRPr="003657BF" w:rsidRDefault="006477B4" w:rsidP="003657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 xml:space="preserve">От </w:t>
      </w:r>
      <w:r w:rsidR="003657BF" w:rsidRPr="003657BF">
        <w:rPr>
          <w:rFonts w:ascii="Arial" w:hAnsi="Arial" w:cs="Arial"/>
          <w:b/>
          <w:sz w:val="24"/>
          <w:szCs w:val="24"/>
        </w:rPr>
        <w:t>15.11.2019</w:t>
      </w:r>
      <w:r w:rsidRPr="003657BF">
        <w:rPr>
          <w:rFonts w:ascii="Arial" w:hAnsi="Arial" w:cs="Arial"/>
          <w:b/>
          <w:sz w:val="24"/>
          <w:szCs w:val="24"/>
        </w:rPr>
        <w:t xml:space="preserve"> № </w:t>
      </w:r>
      <w:r w:rsidR="003657BF" w:rsidRPr="003657BF">
        <w:rPr>
          <w:rFonts w:ascii="Arial" w:hAnsi="Arial" w:cs="Arial"/>
          <w:b/>
          <w:sz w:val="24"/>
          <w:szCs w:val="24"/>
        </w:rPr>
        <w:t>582</w:t>
      </w:r>
    </w:p>
    <w:p w:rsidR="006477B4" w:rsidRPr="003657BF" w:rsidRDefault="006477B4" w:rsidP="003657BF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6477B4" w:rsidRPr="003657BF" w:rsidRDefault="00952776" w:rsidP="003657BF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Об утверждении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на 2020– 2022 годы»</w:t>
      </w:r>
      <w:r w:rsidR="006477B4" w:rsidRPr="003657BF">
        <w:rPr>
          <w:rFonts w:ascii="Arial" w:hAnsi="Arial" w:cs="Arial"/>
          <w:sz w:val="24"/>
          <w:szCs w:val="24"/>
        </w:rPr>
        <w:t xml:space="preserve"> </w:t>
      </w:r>
    </w:p>
    <w:p w:rsidR="006477B4" w:rsidRPr="003657BF" w:rsidRDefault="006477B4" w:rsidP="006477B4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952776" w:rsidRPr="003657BF" w:rsidRDefault="00952776" w:rsidP="00952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</w:pPr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области, </w:t>
      </w:r>
      <w:r w:rsidRPr="003657BF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п о с </w:t>
      </w:r>
      <w:proofErr w:type="gramStart"/>
      <w:r w:rsidRPr="003657BF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>т</w:t>
      </w:r>
      <w:proofErr w:type="gramEnd"/>
      <w:r w:rsidRPr="003657BF">
        <w:rPr>
          <w:rFonts w:ascii="Arial" w:hAnsi="Arial" w:cs="Arial"/>
          <w:b/>
          <w:color w:val="auto"/>
          <w:sz w:val="24"/>
          <w:szCs w:val="24"/>
          <w:bdr w:val="none" w:sz="0" w:space="0" w:color="auto"/>
          <w:lang w:eastAsia="en-US"/>
        </w:rPr>
        <w:t xml:space="preserve"> а н о в л я е т:</w:t>
      </w:r>
    </w:p>
    <w:p w:rsidR="00952776" w:rsidRPr="003657BF" w:rsidRDefault="00952776" w:rsidP="00952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       1. Утвердить прилагаемую муниципальную программу «Развитие и поддержка территориального общественного самоуправления на территории </w:t>
      </w:r>
      <w:proofErr w:type="spellStart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>Болотнинского</w:t>
      </w:r>
      <w:proofErr w:type="spellEnd"/>
      <w:r w:rsidRPr="003657BF"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  <w:t xml:space="preserve"> района Новосибирской области на 2020– 2022 годы». </w:t>
      </w:r>
    </w:p>
    <w:p w:rsidR="006477B4" w:rsidRPr="003657BF" w:rsidRDefault="00952776" w:rsidP="00952776">
      <w:pPr>
        <w:pStyle w:val="a8"/>
        <w:jc w:val="both"/>
        <w:rPr>
          <w:rFonts w:ascii="Arial" w:hAnsi="Arial" w:cs="Arial"/>
          <w:sz w:val="24"/>
          <w:szCs w:val="24"/>
        </w:rPr>
      </w:pPr>
      <w:r w:rsidRPr="003657BF">
        <w:rPr>
          <w:rFonts w:ascii="Arial" w:hAnsi="Arial" w:cs="Arial"/>
          <w:sz w:val="24"/>
          <w:szCs w:val="24"/>
          <w:lang w:eastAsia="en-US"/>
        </w:rPr>
        <w:t xml:space="preserve">        2. </w:t>
      </w:r>
      <w:r w:rsidR="00B267F7" w:rsidRPr="003657BF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постановление в газете «Официальный вестник </w:t>
      </w:r>
      <w:proofErr w:type="spellStart"/>
      <w:r w:rsidR="00B267F7" w:rsidRPr="003657BF">
        <w:rPr>
          <w:rFonts w:ascii="Arial" w:hAnsi="Arial" w:cs="Arial"/>
          <w:sz w:val="24"/>
          <w:szCs w:val="24"/>
          <w:lang w:eastAsia="en-US"/>
        </w:rPr>
        <w:t>Болотнинского</w:t>
      </w:r>
      <w:proofErr w:type="spellEnd"/>
      <w:r w:rsidR="00B267F7" w:rsidRPr="003657BF">
        <w:rPr>
          <w:rFonts w:ascii="Arial" w:hAnsi="Arial" w:cs="Arial"/>
          <w:sz w:val="24"/>
          <w:szCs w:val="24"/>
          <w:lang w:eastAsia="en-US"/>
        </w:rPr>
        <w:t xml:space="preserve"> района» и разместить </w:t>
      </w:r>
      <w:r w:rsidRPr="003657BF">
        <w:rPr>
          <w:rFonts w:ascii="Arial" w:hAnsi="Arial" w:cs="Arial"/>
          <w:sz w:val="24"/>
          <w:szCs w:val="24"/>
          <w:lang w:eastAsia="en-US"/>
        </w:rPr>
        <w:t xml:space="preserve">на официальном сайте администрации </w:t>
      </w:r>
      <w:proofErr w:type="spellStart"/>
      <w:r w:rsidRPr="003657BF">
        <w:rPr>
          <w:rFonts w:ascii="Arial" w:hAnsi="Arial" w:cs="Arial"/>
          <w:sz w:val="24"/>
          <w:szCs w:val="24"/>
          <w:lang w:eastAsia="en-US"/>
        </w:rPr>
        <w:t>Болотнинского</w:t>
      </w:r>
      <w:proofErr w:type="spellEnd"/>
      <w:r w:rsidRPr="003657BF">
        <w:rPr>
          <w:rFonts w:ascii="Arial" w:hAnsi="Arial" w:cs="Arial"/>
          <w:sz w:val="24"/>
          <w:szCs w:val="24"/>
          <w:lang w:eastAsia="en-US"/>
        </w:rPr>
        <w:t xml:space="preserve"> района Новосибирской области.</w:t>
      </w:r>
      <w:r w:rsidR="006477B4" w:rsidRPr="003657BF">
        <w:rPr>
          <w:rFonts w:ascii="Arial" w:hAnsi="Arial" w:cs="Arial"/>
          <w:sz w:val="24"/>
          <w:szCs w:val="24"/>
        </w:rPr>
        <w:t xml:space="preserve"> </w:t>
      </w:r>
    </w:p>
    <w:p w:rsidR="003657BF" w:rsidRPr="003657BF" w:rsidRDefault="003657BF" w:rsidP="006477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7BF" w:rsidRPr="003657BF" w:rsidRDefault="003657BF" w:rsidP="006477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7BF" w:rsidRPr="003657BF" w:rsidRDefault="003657BF" w:rsidP="006477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6477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57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57B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657BF"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</w:p>
    <w:p w:rsidR="006477B4" w:rsidRPr="003657BF" w:rsidRDefault="006477B4" w:rsidP="006477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7BF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   </w:t>
      </w:r>
      <w:r w:rsidR="003657BF">
        <w:rPr>
          <w:rFonts w:ascii="Arial" w:hAnsi="Arial" w:cs="Arial"/>
          <w:sz w:val="24"/>
          <w:szCs w:val="24"/>
        </w:rPr>
        <w:t xml:space="preserve">            </w:t>
      </w:r>
      <w:r w:rsidRPr="003657BF">
        <w:rPr>
          <w:rFonts w:ascii="Arial" w:hAnsi="Arial" w:cs="Arial"/>
          <w:sz w:val="24"/>
          <w:szCs w:val="24"/>
        </w:rPr>
        <w:t xml:space="preserve">  В.А. Франк             </w:t>
      </w:r>
    </w:p>
    <w:p w:rsidR="006477B4" w:rsidRPr="003657BF" w:rsidRDefault="006477B4" w:rsidP="006477B4">
      <w:pPr>
        <w:rPr>
          <w:rFonts w:ascii="Arial" w:hAnsi="Arial" w:cs="Arial"/>
          <w:sz w:val="24"/>
          <w:szCs w:val="24"/>
        </w:rPr>
      </w:pPr>
    </w:p>
    <w:p w:rsidR="006477B4" w:rsidRPr="003657BF" w:rsidRDefault="006477B4" w:rsidP="006477B4">
      <w:pPr>
        <w:rPr>
          <w:rFonts w:ascii="Arial" w:hAnsi="Arial" w:cs="Arial"/>
          <w:sz w:val="24"/>
          <w:szCs w:val="24"/>
        </w:rPr>
      </w:pPr>
    </w:p>
    <w:p w:rsidR="006477B4" w:rsidRPr="003657BF" w:rsidRDefault="006477B4" w:rsidP="006477B4">
      <w:pPr>
        <w:rPr>
          <w:rFonts w:ascii="Arial" w:hAnsi="Arial" w:cs="Arial"/>
          <w:sz w:val="24"/>
          <w:szCs w:val="24"/>
        </w:rPr>
      </w:pPr>
    </w:p>
    <w:p w:rsidR="006477B4" w:rsidRPr="003657BF" w:rsidRDefault="006477B4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7BF" w:rsidRPr="003657BF" w:rsidRDefault="003657BF" w:rsidP="00C80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3"/>
      </w:tblGrid>
      <w:tr w:rsidR="00C806EE" w:rsidRPr="003657BF" w:rsidTr="00952776">
        <w:trPr>
          <w:trHeight w:val="1680"/>
        </w:trPr>
        <w:tc>
          <w:tcPr>
            <w:tcW w:w="4972" w:type="dxa"/>
          </w:tcPr>
          <w:p w:rsidR="00C806EE" w:rsidRPr="003657BF" w:rsidRDefault="00C806EE" w:rsidP="00A90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4973" w:type="dxa"/>
          </w:tcPr>
          <w:p w:rsidR="00C806EE" w:rsidRPr="003657BF" w:rsidRDefault="00C806EE" w:rsidP="00AB0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УТВЕРЖДЕНА</w:t>
            </w:r>
          </w:p>
          <w:p w:rsidR="003657BF" w:rsidRDefault="00C806EE" w:rsidP="00AB0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постановлением администрации </w:t>
            </w:r>
          </w:p>
          <w:p w:rsidR="00AB03C7" w:rsidRPr="003657BF" w:rsidRDefault="00C806EE" w:rsidP="00AB0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proofErr w:type="spellStart"/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района </w:t>
            </w:r>
          </w:p>
          <w:p w:rsidR="00C806EE" w:rsidRPr="003657BF" w:rsidRDefault="00C806EE" w:rsidP="00AB03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Новосибирской области</w:t>
            </w:r>
          </w:p>
          <w:p w:rsidR="00C806EE" w:rsidRPr="003657BF" w:rsidRDefault="00C806EE" w:rsidP="00366B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от</w:t>
            </w:r>
            <w:r w:rsidR="00D51391"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  <w:r w:rsidR="003657BF" w:rsidRPr="003657BF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/>
                <w:lang w:eastAsia="en-US"/>
              </w:rPr>
              <w:t>15.11.2019 № 582</w:t>
            </w:r>
          </w:p>
        </w:tc>
      </w:tr>
    </w:tbl>
    <w:p w:rsidR="00A9099E" w:rsidRPr="003657BF" w:rsidRDefault="00A9099E" w:rsidP="00A909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A9099E" w:rsidRPr="003657BF" w:rsidRDefault="00A9099E" w:rsidP="00A909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auto"/>
          <w:sz w:val="24"/>
          <w:szCs w:val="24"/>
          <w:bdr w:val="none" w:sz="0" w:space="0" w:color="auto"/>
          <w:lang w:eastAsia="en-US"/>
        </w:rPr>
      </w:pPr>
    </w:p>
    <w:p w:rsidR="00A9099E" w:rsidRPr="003657BF" w:rsidRDefault="00A9099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EE" w:rsidRPr="003657BF" w:rsidRDefault="00C806E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6EE" w:rsidRPr="003657BF" w:rsidRDefault="00C806E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099E" w:rsidRPr="003657BF" w:rsidRDefault="00C806E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C806EE" w:rsidRPr="003657BF" w:rsidRDefault="00C806E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>«Развитие и поддержка территориального общественного самоуправления на территории Болотнинского района Новосибирской области на 20</w:t>
      </w:r>
      <w:r w:rsidR="00366B63" w:rsidRPr="003657BF">
        <w:rPr>
          <w:rFonts w:ascii="Arial" w:hAnsi="Arial" w:cs="Arial"/>
          <w:b/>
          <w:sz w:val="24"/>
          <w:szCs w:val="24"/>
        </w:rPr>
        <w:t>20– 2022</w:t>
      </w:r>
      <w:r w:rsidRPr="003657BF">
        <w:rPr>
          <w:rFonts w:ascii="Arial" w:hAnsi="Arial" w:cs="Arial"/>
          <w:b/>
          <w:sz w:val="24"/>
          <w:szCs w:val="24"/>
        </w:rPr>
        <w:t xml:space="preserve"> годы»</w:t>
      </w:r>
    </w:p>
    <w:p w:rsidR="00A9099E" w:rsidRPr="003657BF" w:rsidRDefault="00A9099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099E" w:rsidRPr="003657BF" w:rsidRDefault="00A9099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099E" w:rsidRPr="003657BF" w:rsidRDefault="00A9099E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2776" w:rsidRPr="003657BF" w:rsidRDefault="00952776" w:rsidP="00B26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7F7" w:rsidRPr="003657BF" w:rsidRDefault="00B267F7" w:rsidP="00B26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3B9D" w:rsidRDefault="009A3B9D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7BF" w:rsidRPr="003657BF" w:rsidRDefault="003657BF" w:rsidP="00200E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E63" w:rsidRPr="003657BF" w:rsidRDefault="00342B26" w:rsidP="00200E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Pr="003657BF">
        <w:rPr>
          <w:rFonts w:ascii="Arial" w:hAnsi="Arial" w:cs="Arial"/>
          <w:b/>
          <w:sz w:val="24"/>
          <w:szCs w:val="24"/>
        </w:rPr>
        <w:t>.</w:t>
      </w:r>
      <w:r w:rsidR="00200E63" w:rsidRPr="003657BF">
        <w:rPr>
          <w:rFonts w:ascii="Arial" w:hAnsi="Arial" w:cs="Arial"/>
          <w:b/>
          <w:sz w:val="24"/>
          <w:szCs w:val="24"/>
        </w:rPr>
        <w:t xml:space="preserve">ПАСПОРТ </w:t>
      </w:r>
    </w:p>
    <w:p w:rsidR="00200E63" w:rsidRPr="003657BF" w:rsidRDefault="00200E63" w:rsidP="00200E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200E63" w:rsidRPr="003657BF" w:rsidRDefault="00200E63" w:rsidP="00200E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t xml:space="preserve">«Развитие и поддержка территориального общественного самоуправления на территории Болотнинского района Новосибирской области </w:t>
      </w:r>
      <w:r w:rsidRPr="003657BF">
        <w:rPr>
          <w:rFonts w:ascii="Arial" w:hAnsi="Arial" w:cs="Arial"/>
          <w:b/>
          <w:color w:val="auto"/>
          <w:sz w:val="24"/>
          <w:szCs w:val="24"/>
        </w:rPr>
        <w:t>на 20</w:t>
      </w:r>
      <w:r w:rsidR="00366B63" w:rsidRPr="003657BF">
        <w:rPr>
          <w:rFonts w:ascii="Arial" w:hAnsi="Arial" w:cs="Arial"/>
          <w:b/>
          <w:color w:val="auto"/>
          <w:sz w:val="24"/>
          <w:szCs w:val="24"/>
        </w:rPr>
        <w:t>20</w:t>
      </w:r>
      <w:r w:rsidRPr="003657BF">
        <w:rPr>
          <w:rFonts w:ascii="Arial" w:hAnsi="Arial" w:cs="Arial"/>
          <w:b/>
          <w:color w:val="auto"/>
          <w:sz w:val="24"/>
          <w:szCs w:val="24"/>
        </w:rPr>
        <w:t>– 20</w:t>
      </w:r>
      <w:r w:rsidR="00366B63" w:rsidRPr="003657BF">
        <w:rPr>
          <w:rFonts w:ascii="Arial" w:hAnsi="Arial" w:cs="Arial"/>
          <w:b/>
          <w:color w:val="auto"/>
          <w:sz w:val="24"/>
          <w:szCs w:val="24"/>
        </w:rPr>
        <w:t>22</w:t>
      </w:r>
      <w:r w:rsidRPr="003657B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3657BF">
        <w:rPr>
          <w:rFonts w:ascii="Arial" w:hAnsi="Arial" w:cs="Arial"/>
          <w:b/>
          <w:sz w:val="24"/>
          <w:szCs w:val="24"/>
        </w:rPr>
        <w:t>годы»</w:t>
      </w:r>
    </w:p>
    <w:p w:rsidR="00200E63" w:rsidRPr="003657BF" w:rsidRDefault="00200E63" w:rsidP="00200E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96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5528"/>
      </w:tblGrid>
      <w:tr w:rsidR="00200E63" w:rsidRPr="003657BF" w:rsidTr="00272024">
        <w:trPr>
          <w:trHeight w:val="63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bCs/>
                <w:sz w:val="24"/>
                <w:szCs w:val="24"/>
              </w:rPr>
              <w:t>Краткое содержание</w:t>
            </w:r>
          </w:p>
        </w:tc>
      </w:tr>
      <w:tr w:rsidR="00200E63" w:rsidRPr="003657BF" w:rsidTr="00272024">
        <w:trPr>
          <w:trHeight w:val="117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366B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и поддержка территориального общественного самоуправления на территории Болотнинского района Новосибирской области на </w:t>
            </w:r>
            <w:r w:rsidRPr="003657BF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366B63" w:rsidRPr="003657BF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– 20</w:t>
            </w:r>
            <w:r w:rsidR="00366B63" w:rsidRPr="003657BF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годы</w:t>
            </w:r>
            <w:r w:rsidRPr="003657B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00E63" w:rsidRPr="003657BF" w:rsidTr="00272024">
        <w:trPr>
          <w:trHeight w:val="147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200E63" w:rsidRPr="003657BF" w:rsidRDefault="00200E63" w:rsidP="00272024">
            <w:pPr>
              <w:spacing w:after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Устав Болотнинского района Новосибирской области</w:t>
            </w:r>
          </w:p>
        </w:tc>
      </w:tr>
      <w:tr w:rsidR="00A93A12" w:rsidRPr="003657BF" w:rsidTr="00323C43">
        <w:trPr>
          <w:trHeight w:val="127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A12" w:rsidRPr="003657BF" w:rsidRDefault="00A93A12" w:rsidP="00A93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A12" w:rsidRPr="003657BF" w:rsidRDefault="00A93A12" w:rsidP="00A93A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Заказчик  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A12" w:rsidRPr="003657BF" w:rsidRDefault="00A93A12" w:rsidP="00342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Администрация Болотнинского района Новосибирской области</w:t>
            </w:r>
          </w:p>
        </w:tc>
      </w:tr>
      <w:tr w:rsidR="00200E63" w:rsidRPr="003657BF" w:rsidTr="00272024">
        <w:trPr>
          <w:trHeight w:val="127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A93A12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Разработчик - координатор муниципальной программы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E4D97" w:rsidP="00F7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</w:rPr>
              <w:t>Отдел организационно-кадровой работы</w:t>
            </w:r>
            <w:r w:rsidR="00E96761"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="00E96761" w:rsidRPr="003657BF">
              <w:rPr>
                <w:rFonts w:ascii="Arial" w:hAnsi="Arial" w:cs="Arial"/>
                <w:color w:val="auto"/>
                <w:sz w:val="24"/>
                <w:szCs w:val="24"/>
              </w:rPr>
              <w:t>Болотнинского</w:t>
            </w:r>
            <w:proofErr w:type="spellEnd"/>
            <w:r w:rsidR="00E96761"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Новосибирской области  </w:t>
            </w:r>
            <w:r w:rsidR="00F71865"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00E63"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200E63" w:rsidRPr="003657BF" w:rsidTr="00272024">
        <w:trPr>
          <w:trHeight w:val="127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A93A12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44F" w:rsidRPr="003657BF" w:rsidRDefault="00DE0276" w:rsidP="008F34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8F344F" w:rsidRPr="003657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F344F"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8F344F"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B56B24" w:rsidRPr="003657BF" w:rsidRDefault="00B56B24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56B24" w:rsidRPr="003657BF" w:rsidRDefault="00B56B24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200E63" w:rsidRPr="003657BF" w:rsidTr="00272024">
        <w:trPr>
          <w:trHeight w:val="31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DE0276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6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Подпрограммы не выделяются </w:t>
            </w:r>
          </w:p>
        </w:tc>
      </w:tr>
      <w:tr w:rsidR="00200E63" w:rsidRPr="003657BF" w:rsidTr="00272024">
        <w:trPr>
          <w:trHeight w:val="479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DE0276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Обеспечение благоприятных условий развития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на территории Болотнинского района Новосибирской области. 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Задачи программы: 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1.Выявление организаторов общественных инициатив, координация и обеспечение их деятельности.</w:t>
            </w:r>
          </w:p>
          <w:p w:rsidR="00200E63" w:rsidRPr="003657BF" w:rsidRDefault="00501456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. Осуществление взаимодействия органов местного самоуправления с органами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и 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общественными объединениями по вопросам развития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63" w:rsidRPr="003657BF" w:rsidRDefault="00501456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. Организация мероприятий, направленных на повышении мотивации членов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63" w:rsidRPr="003657BF" w:rsidRDefault="00501456" w:rsidP="00F7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.Информирование населения о создании и направлениях деятельности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00E63" w:rsidRPr="003657BF" w:rsidTr="00272024">
        <w:trPr>
          <w:trHeight w:val="191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DE0276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8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Целевые индикаторы: 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- количество граждан, принимающих участие в деятельности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территориальных общественных самоуправлений</w:t>
            </w:r>
            <w:r w:rsidRPr="003657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- количество социально значимых мероприятий 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>территориальных общественных самоуправлений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, реализованных с привлечением средств из муниципального и областного бюджетов. </w:t>
            </w:r>
          </w:p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 количество статей, публикаций в средствах массовой информации, освещающих деятельность</w:t>
            </w:r>
            <w:r w:rsidR="00461BE5" w:rsidRPr="003657BF">
              <w:rPr>
                <w:rFonts w:ascii="Arial" w:hAnsi="Arial" w:cs="Arial"/>
                <w:sz w:val="24"/>
                <w:szCs w:val="24"/>
              </w:rPr>
              <w:t xml:space="preserve"> территориальных общественных самоуправлений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00E63" w:rsidRPr="003657BF" w:rsidRDefault="00200E63" w:rsidP="002E4D9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657BF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2E4D97" w:rsidRPr="003657BF">
              <w:rPr>
                <w:rFonts w:ascii="Arial" w:hAnsi="Arial" w:cs="Arial"/>
                <w:sz w:val="24"/>
                <w:szCs w:val="24"/>
              </w:rPr>
              <w:t xml:space="preserve">действующих ТОС на территории </w:t>
            </w:r>
            <w:proofErr w:type="spellStart"/>
            <w:r w:rsidR="002E4D97"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2E4D97"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200E63" w:rsidRPr="003657BF" w:rsidTr="00272024">
        <w:trPr>
          <w:trHeight w:val="63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DE0276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EB1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</w:t>
            </w:r>
            <w:r w:rsidR="00EB1BE4" w:rsidRPr="003657BF">
              <w:rPr>
                <w:rFonts w:ascii="Arial" w:hAnsi="Arial" w:cs="Arial"/>
                <w:sz w:val="24"/>
                <w:szCs w:val="24"/>
              </w:rPr>
              <w:t>20 – 2022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200E63" w:rsidRPr="003657BF" w:rsidTr="00501456">
        <w:trPr>
          <w:trHeight w:val="147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A5462B" w:rsidP="00DE02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  <w:r w:rsidR="00DE0276" w:rsidRPr="003657BF">
              <w:rPr>
                <w:rFonts w:ascii="Arial" w:hAnsi="Arial" w:cs="Arial"/>
                <w:sz w:val="24"/>
                <w:szCs w:val="24"/>
              </w:rPr>
              <w:t>0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в объеме 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1665,6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4D7447" w:rsidRPr="003657BF" w:rsidRDefault="004D7447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63" w:rsidRPr="003657BF" w:rsidRDefault="00200E63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за счет средс</w:t>
            </w:r>
            <w:r w:rsidR="00144810" w:rsidRPr="003657BF">
              <w:rPr>
                <w:rFonts w:ascii="Arial" w:hAnsi="Arial" w:cs="Arial"/>
                <w:sz w:val="24"/>
                <w:szCs w:val="24"/>
              </w:rPr>
              <w:t xml:space="preserve">тв 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="000C7B64"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0C7B64" w:rsidRPr="003657BF">
              <w:rPr>
                <w:rFonts w:ascii="Arial" w:hAnsi="Arial" w:cs="Arial"/>
                <w:sz w:val="24"/>
                <w:szCs w:val="24"/>
              </w:rPr>
              <w:t xml:space="preserve"> района 90,6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200E63" w:rsidRPr="003657BF" w:rsidRDefault="00EB1BE4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30,2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00E63" w:rsidRPr="003657BF" w:rsidRDefault="00EB1BE4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2021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15581" w:rsidRPr="00365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810" w:rsidRPr="003657BF">
              <w:rPr>
                <w:rFonts w:ascii="Arial" w:hAnsi="Arial" w:cs="Arial"/>
                <w:sz w:val="24"/>
                <w:szCs w:val="24"/>
              </w:rPr>
              <w:t>30,2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00E63" w:rsidRPr="003657BF" w:rsidRDefault="00EB1BE4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2022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15581" w:rsidRPr="00365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810" w:rsidRPr="003657BF">
              <w:rPr>
                <w:rFonts w:ascii="Arial" w:hAnsi="Arial" w:cs="Arial"/>
                <w:sz w:val="24"/>
                <w:szCs w:val="24"/>
              </w:rPr>
              <w:t>30,2</w:t>
            </w:r>
            <w:r w:rsidR="00515581" w:rsidRPr="00365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5F6" w:rsidRPr="003657B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00E63" w:rsidRPr="003657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34DF" w:rsidRPr="003657BF" w:rsidRDefault="00C234DF" w:rsidP="00C234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34DF" w:rsidRPr="003657BF" w:rsidRDefault="00C234DF" w:rsidP="00C234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за счет средств областного бюджет</w:t>
            </w:r>
            <w:r w:rsidR="00144810" w:rsidRPr="003657BF">
              <w:rPr>
                <w:rFonts w:ascii="Arial" w:hAnsi="Arial" w:cs="Arial"/>
                <w:sz w:val="24"/>
                <w:szCs w:val="24"/>
              </w:rPr>
              <w:t xml:space="preserve">а Новосибирской области, всего 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1575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,0 тыс. рублей, в том числе: </w:t>
            </w:r>
          </w:p>
          <w:p w:rsidR="00C234DF" w:rsidRPr="003657BF" w:rsidRDefault="00EB1BE4" w:rsidP="00C234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</w:t>
            </w:r>
            <w:r w:rsidR="00C234DF" w:rsidRPr="003657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525</w:t>
            </w:r>
            <w:r w:rsidRPr="003657BF">
              <w:rPr>
                <w:rFonts w:ascii="Arial" w:hAnsi="Arial" w:cs="Arial"/>
                <w:sz w:val="24"/>
                <w:szCs w:val="24"/>
              </w:rPr>
              <w:t>,</w:t>
            </w:r>
            <w:r w:rsidR="00C234DF" w:rsidRPr="003657BF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C234DF" w:rsidRPr="003657BF" w:rsidRDefault="00144810" w:rsidP="00C234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2021 год – 525,0</w:t>
            </w:r>
            <w:r w:rsidR="00C234DF" w:rsidRPr="00365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D55F6" w:rsidRPr="003657BF" w:rsidRDefault="00144810" w:rsidP="00C234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2022 год – 525,0</w:t>
            </w:r>
            <w:r w:rsidR="00C234DF" w:rsidRPr="003657B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C234DF" w:rsidRPr="003657BF" w:rsidRDefault="00C234DF" w:rsidP="0027202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00E63" w:rsidRPr="003657BF" w:rsidRDefault="008D55F6" w:rsidP="002720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color w:val="auto"/>
                <w:sz w:val="24"/>
                <w:szCs w:val="24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  <w:tr w:rsidR="00200E63" w:rsidRPr="003657BF" w:rsidTr="00C57227">
        <w:trPr>
          <w:trHeight w:val="47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DE02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E0276" w:rsidRPr="003657BF">
              <w:rPr>
                <w:rFonts w:ascii="Arial" w:hAnsi="Arial" w:cs="Arial"/>
                <w:sz w:val="24"/>
                <w:szCs w:val="24"/>
              </w:rPr>
              <w:t>1</w:t>
            </w:r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0245C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1.Создание целостной системы территориального общественного самоуправления на территории Болотнинского района Новосибирской области.</w:t>
            </w:r>
          </w:p>
          <w:p w:rsidR="00200E63" w:rsidRPr="003657BF" w:rsidRDefault="00200E63" w:rsidP="000245C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2.Формирование устойчивого количества участ</w:t>
            </w:r>
            <w:r w:rsidR="00F71865" w:rsidRPr="003657BF">
              <w:rPr>
                <w:rFonts w:ascii="Arial" w:hAnsi="Arial" w:cs="Arial"/>
                <w:sz w:val="24"/>
                <w:szCs w:val="24"/>
              </w:rPr>
              <w:t xml:space="preserve">ников актива общественников из 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числа членов органов </w:t>
            </w:r>
            <w:r w:rsidR="00461BE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63" w:rsidRPr="003657BF" w:rsidRDefault="00200E63" w:rsidP="000245CC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3.Создание эффективного механизма реализации и поддержки </w:t>
            </w:r>
            <w:r w:rsidR="00461BE5" w:rsidRPr="003657BF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</w:t>
            </w:r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5CDA" w:rsidRPr="003657BF" w:rsidRDefault="00185CDA" w:rsidP="000245CC">
            <w:pPr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4.</w:t>
            </w: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Доля населения </w:t>
            </w:r>
            <w:proofErr w:type="spellStart"/>
            <w:r w:rsidRPr="003657BF">
              <w:rPr>
                <w:rFonts w:ascii="Arial" w:hAnsi="Arial" w:cs="Arial"/>
                <w:bCs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 района охваченная деятельностью ТОС увеличится с 7% в 2019 году до 13% в 202</w:t>
            </w:r>
            <w:r w:rsidR="00BB1E0E" w:rsidRPr="003657B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 году.</w:t>
            </w:r>
          </w:p>
          <w:p w:rsidR="00185CDA" w:rsidRPr="003657BF" w:rsidRDefault="00185CDA" w:rsidP="000245CC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5. Количество действующих ТОС на территории </w:t>
            </w:r>
            <w:proofErr w:type="spellStart"/>
            <w:r w:rsidRPr="003657BF">
              <w:rPr>
                <w:rFonts w:ascii="Arial" w:hAnsi="Arial" w:cs="Arial"/>
                <w:bCs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 района увеличится с </w:t>
            </w:r>
            <w:r w:rsidR="00BB1E0E" w:rsidRPr="003657BF">
              <w:rPr>
                <w:rFonts w:ascii="Arial" w:hAnsi="Arial" w:cs="Arial"/>
                <w:bCs/>
                <w:sz w:val="24"/>
                <w:szCs w:val="24"/>
              </w:rPr>
              <w:t>15 в 2019 году до 27</w:t>
            </w:r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 в 20</w:t>
            </w:r>
            <w:r w:rsidR="00BB1E0E" w:rsidRPr="003657BF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3657BF">
              <w:rPr>
                <w:rFonts w:ascii="Arial" w:hAnsi="Arial" w:cs="Arial"/>
                <w:bCs/>
                <w:sz w:val="24"/>
                <w:szCs w:val="24"/>
              </w:rPr>
              <w:t xml:space="preserve"> году.</w:t>
            </w:r>
          </w:p>
        </w:tc>
      </w:tr>
      <w:tr w:rsidR="00200E63" w:rsidRPr="003657BF" w:rsidTr="00272024">
        <w:trPr>
          <w:trHeight w:val="95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DE02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  <w:r w:rsidR="00DE0276"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200E63" w:rsidP="00272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0E63" w:rsidRPr="003657BF" w:rsidRDefault="003657BF" w:rsidP="0027202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5" w:history="1">
              <w:r w:rsidR="00200E63" w:rsidRPr="003657BF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http://www.bolotnoe.nso.ru/</w:t>
              </w:r>
            </w:hyperlink>
            <w:r w:rsidR="00200E63" w:rsidRPr="003657B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2E76D9" w:rsidRPr="003657BF" w:rsidRDefault="002E76D9">
      <w:pPr>
        <w:rPr>
          <w:rFonts w:ascii="Arial" w:hAnsi="Arial" w:cs="Arial"/>
          <w:sz w:val="24"/>
          <w:szCs w:val="24"/>
        </w:rPr>
      </w:pPr>
    </w:p>
    <w:p w:rsidR="00A7408A" w:rsidRPr="003657BF" w:rsidRDefault="00200E63" w:rsidP="008F3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  <w:lang w:val="en-US"/>
        </w:rPr>
        <w:t>II</w:t>
      </w:r>
      <w:r w:rsidRPr="003657BF">
        <w:rPr>
          <w:rFonts w:ascii="Arial" w:hAnsi="Arial" w:cs="Arial"/>
          <w:b/>
          <w:sz w:val="24"/>
          <w:szCs w:val="24"/>
        </w:rPr>
        <w:t>.</w:t>
      </w:r>
      <w:r w:rsidR="00A7408A" w:rsidRPr="003657BF">
        <w:rPr>
          <w:rFonts w:ascii="Arial" w:hAnsi="Arial" w:cs="Arial"/>
          <w:b/>
          <w:sz w:val="24"/>
          <w:szCs w:val="24"/>
        </w:rPr>
        <w:t>ХАРАКТЕР</w:t>
      </w:r>
      <w:r w:rsidR="00342B26" w:rsidRPr="003657BF">
        <w:rPr>
          <w:rFonts w:ascii="Arial" w:hAnsi="Arial" w:cs="Arial"/>
          <w:b/>
          <w:sz w:val="24"/>
          <w:szCs w:val="24"/>
        </w:rPr>
        <w:t>ИСТИКА СФЕРЫ ДЕЯТЕЛЬНОСТИ МУНИЦИ</w:t>
      </w:r>
      <w:r w:rsidR="00A7408A" w:rsidRPr="003657BF">
        <w:rPr>
          <w:rFonts w:ascii="Arial" w:hAnsi="Arial" w:cs="Arial"/>
          <w:b/>
          <w:sz w:val="24"/>
          <w:szCs w:val="24"/>
        </w:rPr>
        <w:t>ПАЛЬНОЙ ПРОГРАММЫ</w:t>
      </w:r>
    </w:p>
    <w:p w:rsidR="00B12FAF" w:rsidRPr="003657BF" w:rsidRDefault="00B12FAF" w:rsidP="008F34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57BF">
        <w:rPr>
          <w:rFonts w:ascii="Arial" w:hAnsi="Arial" w:cs="Arial"/>
          <w:sz w:val="24"/>
          <w:szCs w:val="24"/>
        </w:rPr>
        <w:t xml:space="preserve">Согласно действующему законодательству под </w:t>
      </w:r>
      <w:r w:rsidRPr="003657BF">
        <w:rPr>
          <w:rFonts w:ascii="Arial" w:hAnsi="Arial" w:cs="Arial"/>
          <w:bCs/>
          <w:sz w:val="24"/>
          <w:szCs w:val="24"/>
        </w:rPr>
        <w:t>территориальным общественным самоуправлением</w:t>
      </w:r>
      <w:r w:rsidRPr="003657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7BF">
        <w:rPr>
          <w:rFonts w:ascii="Arial" w:hAnsi="Arial" w:cs="Arial"/>
          <w:sz w:val="24"/>
          <w:szCs w:val="24"/>
        </w:rPr>
        <w:t xml:space="preserve">(далее - 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 </w:t>
      </w:r>
      <w:proofErr w:type="spellStart"/>
      <w:r w:rsidRPr="003657BF">
        <w:rPr>
          <w:rFonts w:ascii="Arial" w:hAnsi="Arial" w:cs="Arial"/>
          <w:sz w:val="24"/>
          <w:szCs w:val="24"/>
        </w:rPr>
        <w:t>ТОС</w:t>
      </w:r>
      <w:r w:rsidR="00323C43" w:rsidRPr="003657BF">
        <w:rPr>
          <w:rFonts w:ascii="Arial" w:hAnsi="Arial" w:cs="Arial"/>
          <w:sz w:val="24"/>
          <w:szCs w:val="24"/>
        </w:rPr>
        <w:t>ы</w:t>
      </w:r>
      <w:proofErr w:type="spellEnd"/>
      <w:r w:rsidRPr="003657BF">
        <w:rPr>
          <w:rFonts w:ascii="Arial" w:hAnsi="Arial" w:cs="Arial"/>
          <w:sz w:val="24"/>
          <w:szCs w:val="24"/>
        </w:rPr>
        <w:t xml:space="preserve"> не заменяют органы местного самоуправления, их целью является помощь населению в осуществлении собственных инициатив по вопросам местного значения. 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Именно </w:t>
      </w:r>
      <w:r w:rsidR="00323C43" w:rsidRPr="003657BF">
        <w:rPr>
          <w:rFonts w:ascii="Arial" w:eastAsia="Times New Roman" w:hAnsi="Arial" w:cs="Arial"/>
          <w:sz w:val="24"/>
          <w:szCs w:val="24"/>
        </w:rPr>
        <w:t>ТОС</w:t>
      </w:r>
      <w:r w:rsidRPr="003657BF">
        <w:rPr>
          <w:rFonts w:ascii="Arial" w:eastAsia="Times New Roman" w:hAnsi="Arial" w:cs="Arial"/>
          <w:sz w:val="24"/>
          <w:szCs w:val="24"/>
        </w:rPr>
        <w:t xml:space="preserve">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spellStart"/>
      <w:r w:rsidRPr="003657BF">
        <w:rPr>
          <w:rFonts w:ascii="Arial" w:eastAsia="Times New Roman" w:hAnsi="Arial" w:cs="Arial"/>
          <w:sz w:val="24"/>
          <w:szCs w:val="24"/>
        </w:rPr>
        <w:t>ТОСов</w:t>
      </w:r>
      <w:proofErr w:type="spellEnd"/>
      <w:r w:rsidRPr="003657BF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3657BF">
        <w:rPr>
          <w:rFonts w:ascii="Arial" w:eastAsia="Times New Roman" w:hAnsi="Arial" w:cs="Arial"/>
          <w:sz w:val="24"/>
          <w:szCs w:val="24"/>
        </w:rPr>
        <w:t>Болотнинском</w:t>
      </w:r>
      <w:proofErr w:type="spellEnd"/>
      <w:r w:rsidRPr="003657BF">
        <w:rPr>
          <w:rFonts w:ascii="Arial" w:eastAsia="Times New Roman" w:hAnsi="Arial" w:cs="Arial"/>
          <w:sz w:val="24"/>
          <w:szCs w:val="24"/>
        </w:rPr>
        <w:t xml:space="preserve"> районе </w:t>
      </w:r>
      <w:r w:rsidR="004716D2" w:rsidRPr="003657BF">
        <w:rPr>
          <w:rFonts w:ascii="Arial" w:eastAsia="Times New Roman" w:hAnsi="Arial" w:cs="Arial"/>
          <w:sz w:val="24"/>
          <w:szCs w:val="24"/>
        </w:rPr>
        <w:t xml:space="preserve">Новосибирской области </w:t>
      </w:r>
      <w:r w:rsidRPr="003657BF">
        <w:rPr>
          <w:rFonts w:ascii="Arial" w:eastAsia="Times New Roman" w:hAnsi="Arial" w:cs="Arial"/>
          <w:sz w:val="24"/>
          <w:szCs w:val="24"/>
        </w:rPr>
        <w:t>находится в стадии формирования. Развитие данной системы требует правового, экономического, информационного и методического сопровождения, осуществление которого возможно лишь при поддержке органов местного самоуправления.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Основными факторами сдерживания развития ТОС в районе являются: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- недостаточное правовое обеспечение функционирования ТОС;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-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значения;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lastRenderedPageBreak/>
        <w:t>- отсутствие у инициативных граждан необходимых знаний для организации ТОС и осуществления эффективной деятельности;</w:t>
      </w:r>
    </w:p>
    <w:p w:rsidR="00200E63" w:rsidRPr="003657BF" w:rsidRDefault="00200E63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- </w:t>
      </w:r>
      <w:r w:rsidR="00A7408A" w:rsidRPr="003657BF">
        <w:rPr>
          <w:rFonts w:ascii="Arial" w:eastAsia="Times New Roman" w:hAnsi="Arial" w:cs="Arial"/>
          <w:sz w:val="24"/>
          <w:szCs w:val="24"/>
        </w:rPr>
        <w:t>низкий уровень информированности населения Болотнинского района о деятельности органов ТОС.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Финансовое обеспечение программы планируется осуществлять за счет средств местного и областного бюджетов и за счет спонсорских средств. 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в решении проблем населенных пунктов, поселений, района в целом. Как форма участия населения в осуществлении местного самоуправления,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Развитие системы ТОС позволит: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-создать обратную связь между населением и органами местного самоуправления;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-повысить социальную активность граждан и привлечь широкие слои населения в управленческий процесс;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-сократить бюджетные затраты и повысить эффективность управления.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 xml:space="preserve">По итогам реализации </w:t>
      </w:r>
      <w:r w:rsidR="003657BF" w:rsidRPr="003657BF">
        <w:rPr>
          <w:rFonts w:ascii="Arial" w:eastAsia="Times New Roman" w:hAnsi="Arial" w:cs="Arial"/>
          <w:sz w:val="24"/>
          <w:szCs w:val="24"/>
        </w:rPr>
        <w:t>программы планируется</w:t>
      </w:r>
      <w:r w:rsidRPr="003657BF">
        <w:rPr>
          <w:rFonts w:ascii="Arial" w:eastAsia="Times New Roman" w:hAnsi="Arial" w:cs="Arial"/>
          <w:sz w:val="24"/>
          <w:szCs w:val="24"/>
        </w:rPr>
        <w:t xml:space="preserve"> охватить </w:t>
      </w:r>
      <w:proofErr w:type="spellStart"/>
      <w:r w:rsidR="00323C43" w:rsidRPr="003657BF">
        <w:rPr>
          <w:rFonts w:ascii="Arial" w:eastAsia="Times New Roman" w:hAnsi="Arial" w:cs="Arial"/>
          <w:sz w:val="24"/>
          <w:szCs w:val="24"/>
        </w:rPr>
        <w:t>ТОСами</w:t>
      </w:r>
      <w:proofErr w:type="spellEnd"/>
      <w:r w:rsidR="00323C43" w:rsidRPr="003657BF">
        <w:rPr>
          <w:rFonts w:ascii="Arial" w:eastAsia="Times New Roman" w:hAnsi="Arial" w:cs="Arial"/>
          <w:sz w:val="24"/>
          <w:szCs w:val="24"/>
        </w:rPr>
        <w:t xml:space="preserve"> </w:t>
      </w:r>
      <w:r w:rsidRPr="003657BF">
        <w:rPr>
          <w:rFonts w:ascii="Arial" w:eastAsia="Times New Roman" w:hAnsi="Arial" w:cs="Arial"/>
          <w:sz w:val="24"/>
          <w:szCs w:val="24"/>
        </w:rPr>
        <w:t xml:space="preserve">всю территорию района и выстроить эффективную систему по обеспечению их деятельности. 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Реализация программы будет работать на дальнейшее интенсивное развитие добрососедских отношений, эффективное взаимодействие между органами местного самоуправления и органами ТОС, активизацию творческого потенциала, инициативное участие граждан в решении вопросов местного значения и процессах самостоятельного управления территориями.</w:t>
      </w:r>
    </w:p>
    <w:p w:rsidR="00A7408A" w:rsidRPr="003657BF" w:rsidRDefault="00A7408A" w:rsidP="00CA2BE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657BF">
        <w:rPr>
          <w:rFonts w:ascii="Arial" w:eastAsia="Times New Roman" w:hAnsi="Arial" w:cs="Arial"/>
          <w:sz w:val="24"/>
          <w:szCs w:val="24"/>
        </w:rPr>
        <w:t>Конечная цель этого процесса - создание активного социума, повышение гражданской активности и ответственности населения в решении социально-экономических проблем, развитие самоуправляемых территорий, как необходимое условие развития местного самоуправления в целом.</w:t>
      </w:r>
    </w:p>
    <w:p w:rsidR="00A7408A" w:rsidRPr="003657BF" w:rsidRDefault="00A7408A" w:rsidP="00A7408A">
      <w:pPr>
        <w:spacing w:after="0"/>
        <w:ind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A7408A" w:rsidRPr="003657BF" w:rsidRDefault="00A7408A" w:rsidP="00A7408A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3657BF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3657BF">
        <w:rPr>
          <w:rFonts w:ascii="Arial" w:eastAsia="Times New Roman" w:hAnsi="Arial" w:cs="Arial"/>
          <w:b/>
          <w:bCs/>
          <w:sz w:val="24"/>
          <w:szCs w:val="24"/>
        </w:rPr>
        <w:t>. ЦЕЛИ, ЗАДАЧИ И ЦЕЛЕВЫЕ ИНДИКАТОРЫ</w:t>
      </w:r>
    </w:p>
    <w:p w:rsidR="00B12FAF" w:rsidRPr="003657BF" w:rsidRDefault="00B12FAF" w:rsidP="00A7408A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2248"/>
        <w:gridCol w:w="2203"/>
        <w:gridCol w:w="1301"/>
        <w:gridCol w:w="1160"/>
        <w:gridCol w:w="709"/>
        <w:gridCol w:w="709"/>
        <w:gridCol w:w="709"/>
        <w:gridCol w:w="1098"/>
      </w:tblGrid>
      <w:tr w:rsidR="00E11A81" w:rsidRPr="003657BF" w:rsidTr="00501456"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81" w:rsidRPr="003657BF" w:rsidRDefault="00E11A81" w:rsidP="009176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81" w:rsidRPr="003657BF" w:rsidRDefault="00E11A81" w:rsidP="009176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A81" w:rsidRPr="003657BF" w:rsidRDefault="00E11A81" w:rsidP="009176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4385" w:type="dxa"/>
            <w:gridSpan w:val="5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E11A81" w:rsidRPr="003657BF" w:rsidTr="007F48B4"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11A81" w:rsidRPr="003657BF" w:rsidRDefault="00E11A81" w:rsidP="00E11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1A81" w:rsidRPr="003657BF" w:rsidRDefault="00E11A81" w:rsidP="00E11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годам</w:t>
            </w:r>
          </w:p>
        </w:tc>
        <w:tc>
          <w:tcPr>
            <w:tcW w:w="1098" w:type="dxa"/>
            <w:vMerge w:val="restart"/>
          </w:tcPr>
          <w:p w:rsidR="00E11A81" w:rsidRPr="003657BF" w:rsidRDefault="00E11A81" w:rsidP="00E11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</w:tr>
      <w:tr w:rsidR="00E11A81" w:rsidRPr="003657BF" w:rsidTr="007F48B4"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11A81" w:rsidRPr="003657BF" w:rsidRDefault="00E11A81" w:rsidP="003F1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1" w:rsidRPr="003657BF" w:rsidRDefault="00E11A81" w:rsidP="003F11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2022 год </w:t>
            </w:r>
          </w:p>
        </w:tc>
        <w:tc>
          <w:tcPr>
            <w:tcW w:w="1098" w:type="dxa"/>
            <w:vMerge/>
            <w:tcBorders>
              <w:left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1A81" w:rsidRPr="003657BF" w:rsidTr="007F48B4">
        <w:tc>
          <w:tcPr>
            <w:tcW w:w="2248" w:type="dxa"/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E11A81" w:rsidRPr="003657BF" w:rsidRDefault="00E11A81" w:rsidP="00A74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</w:tr>
      <w:tr w:rsidR="00E11A81" w:rsidRPr="003657BF" w:rsidTr="00501456">
        <w:tc>
          <w:tcPr>
            <w:tcW w:w="10137" w:type="dxa"/>
            <w:gridSpan w:val="8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Цель: Обеспечение благоприятных условий развития ТОС на территории Болотнинского района Новосибирской области</w:t>
            </w:r>
          </w:p>
        </w:tc>
      </w:tr>
      <w:tr w:rsidR="00E11A81" w:rsidRPr="003657BF" w:rsidTr="00501456">
        <w:tc>
          <w:tcPr>
            <w:tcW w:w="2248" w:type="dxa"/>
            <w:vMerge w:val="restart"/>
          </w:tcPr>
          <w:p w:rsidR="00E11A81" w:rsidRPr="003657BF" w:rsidRDefault="00E11A81" w:rsidP="001C1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Задача 1: Выявление организа</w:t>
            </w: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торов общественных инициатив, координация и обеспечение их деятельности</w:t>
            </w:r>
          </w:p>
        </w:tc>
        <w:tc>
          <w:tcPr>
            <w:tcW w:w="2203" w:type="dxa"/>
          </w:tcPr>
          <w:p w:rsidR="00E11A81" w:rsidRPr="003657BF" w:rsidRDefault="00E11A81" w:rsidP="001C1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1.1. Доля населения Болотнинского района </w:t>
            </w: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охваченная деятельностью ТОС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81" w:rsidRPr="003657BF" w:rsidRDefault="00E11A81" w:rsidP="001C1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60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</w:tr>
      <w:tr w:rsidR="00E11A81" w:rsidRPr="003657BF" w:rsidTr="00501456">
        <w:tc>
          <w:tcPr>
            <w:tcW w:w="2248" w:type="dxa"/>
            <w:vMerge/>
          </w:tcPr>
          <w:p w:rsidR="00E11A81" w:rsidRPr="003657BF" w:rsidRDefault="00E11A81" w:rsidP="001C1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E11A81" w:rsidRPr="003657BF" w:rsidRDefault="00E11A81" w:rsidP="001C1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1.2. Количество действующих ТОС на территории Болотнинского района</w:t>
            </w:r>
          </w:p>
        </w:tc>
        <w:tc>
          <w:tcPr>
            <w:tcW w:w="1301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</w:t>
            </w:r>
          </w:p>
        </w:tc>
        <w:tc>
          <w:tcPr>
            <w:tcW w:w="1160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098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27</w:t>
            </w:r>
          </w:p>
        </w:tc>
      </w:tr>
      <w:tr w:rsidR="00E11A81" w:rsidRPr="003657BF" w:rsidTr="00501456">
        <w:tc>
          <w:tcPr>
            <w:tcW w:w="2248" w:type="dxa"/>
          </w:tcPr>
          <w:p w:rsidR="00E11A81" w:rsidRPr="003657BF" w:rsidRDefault="00E11A81" w:rsidP="0050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</w:t>
            </w:r>
            <w:r w:rsidR="00501456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: Осуществление взаимодействия органов местного самоуправления с органами ТОС и общественными объединениями по вопросам развития ТОС</w:t>
            </w:r>
          </w:p>
        </w:tc>
        <w:tc>
          <w:tcPr>
            <w:tcW w:w="2203" w:type="dxa"/>
          </w:tcPr>
          <w:p w:rsidR="00E11A81" w:rsidRPr="003657BF" w:rsidRDefault="00501456" w:rsidP="001C1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2.1. Количество проведенных семинаров и образовательных мероприятий для членов ТОС</w:t>
            </w:r>
          </w:p>
        </w:tc>
        <w:tc>
          <w:tcPr>
            <w:tcW w:w="1301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Человек </w:t>
            </w:r>
          </w:p>
        </w:tc>
        <w:tc>
          <w:tcPr>
            <w:tcW w:w="1160" w:type="dxa"/>
          </w:tcPr>
          <w:p w:rsidR="00E11A81" w:rsidRPr="003657BF" w:rsidRDefault="00501456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1A81" w:rsidRPr="003657BF" w:rsidRDefault="00501456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1A81" w:rsidRPr="003657BF" w:rsidRDefault="00501456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1A81" w:rsidRPr="003657BF" w:rsidRDefault="00501456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E11A81" w:rsidRPr="003657BF" w:rsidRDefault="00501456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</w:tr>
      <w:tr w:rsidR="00E11A81" w:rsidRPr="003657BF" w:rsidTr="00501456">
        <w:tc>
          <w:tcPr>
            <w:tcW w:w="2248" w:type="dxa"/>
            <w:vMerge w:val="restart"/>
          </w:tcPr>
          <w:p w:rsidR="00E11A81" w:rsidRPr="003657BF" w:rsidRDefault="00501456" w:rsidP="00E86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Задача 3</w:t>
            </w:r>
            <w:r w:rsidR="00E11A81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. Организация мероприятий, направленных на повышении мотивации членов ТОС</w:t>
            </w:r>
          </w:p>
        </w:tc>
        <w:tc>
          <w:tcPr>
            <w:tcW w:w="2203" w:type="dxa"/>
          </w:tcPr>
          <w:p w:rsidR="00E11A81" w:rsidRPr="003657BF" w:rsidRDefault="00501456" w:rsidP="00E86F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E11A81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.1. Количество мероприятий, направленных на повышении мотивации членов ТОС</w:t>
            </w:r>
          </w:p>
        </w:tc>
        <w:tc>
          <w:tcPr>
            <w:tcW w:w="1301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Единица </w:t>
            </w:r>
          </w:p>
        </w:tc>
        <w:tc>
          <w:tcPr>
            <w:tcW w:w="1160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E11A81" w:rsidRPr="003657BF" w:rsidTr="00501456">
        <w:tc>
          <w:tcPr>
            <w:tcW w:w="2248" w:type="dxa"/>
            <w:vMerge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E11A81" w:rsidRPr="003657BF" w:rsidRDefault="00501456" w:rsidP="00AC5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E11A81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.2. Количество организованных и проведенных конкурсов социально значимых проектов для ТОС</w:t>
            </w:r>
          </w:p>
        </w:tc>
        <w:tc>
          <w:tcPr>
            <w:tcW w:w="1301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Единица</w:t>
            </w:r>
          </w:p>
        </w:tc>
        <w:tc>
          <w:tcPr>
            <w:tcW w:w="1160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</w:tr>
      <w:tr w:rsidR="00E11A81" w:rsidRPr="003657BF" w:rsidTr="00501456">
        <w:tc>
          <w:tcPr>
            <w:tcW w:w="2248" w:type="dxa"/>
          </w:tcPr>
          <w:p w:rsidR="00E11A81" w:rsidRPr="003657BF" w:rsidRDefault="00E11A81" w:rsidP="0050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Задача </w:t>
            </w:r>
            <w:r w:rsidR="00501456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. Информирование населения о создании и направлениях деятельности ТОС</w:t>
            </w:r>
          </w:p>
        </w:tc>
        <w:tc>
          <w:tcPr>
            <w:tcW w:w="2203" w:type="dxa"/>
          </w:tcPr>
          <w:p w:rsidR="00E11A81" w:rsidRPr="003657BF" w:rsidRDefault="00501456" w:rsidP="00AC5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E11A81"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.1. Количество статей, публикаций в средствах массовой информации, освещающих деятельность ТОС</w:t>
            </w:r>
          </w:p>
        </w:tc>
        <w:tc>
          <w:tcPr>
            <w:tcW w:w="1301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Единица </w:t>
            </w:r>
          </w:p>
        </w:tc>
        <w:tc>
          <w:tcPr>
            <w:tcW w:w="1160" w:type="dxa"/>
          </w:tcPr>
          <w:p w:rsidR="00E11A81" w:rsidRPr="003657BF" w:rsidRDefault="00120DCD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11A81" w:rsidRPr="003657BF" w:rsidRDefault="00E11A81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11A81" w:rsidRPr="003657BF" w:rsidRDefault="000C7B64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11A81" w:rsidRPr="003657BF" w:rsidRDefault="000C7B64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E11A81" w:rsidRPr="003657BF" w:rsidRDefault="000C7B64" w:rsidP="009176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57BF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</w:tr>
    </w:tbl>
    <w:p w:rsidR="0091768B" w:rsidRPr="003657BF" w:rsidRDefault="0091768B" w:rsidP="00A7408A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0C7B64" w:rsidRPr="003657BF" w:rsidRDefault="000C7B64" w:rsidP="00A7408A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  <w:sectPr w:rsidR="000C7B64" w:rsidRPr="003657BF" w:rsidSect="003657B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C7B64" w:rsidRPr="003657BF" w:rsidRDefault="000C7B64" w:rsidP="000C7B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  <w:lang w:val="en-US"/>
        </w:rPr>
        <w:lastRenderedPageBreak/>
        <w:t>IV</w:t>
      </w:r>
      <w:r w:rsidRPr="003657BF">
        <w:rPr>
          <w:rFonts w:ascii="Arial" w:hAnsi="Arial" w:cs="Arial"/>
          <w:b/>
          <w:sz w:val="24"/>
          <w:szCs w:val="24"/>
        </w:rPr>
        <w:t>. ПЕРЕЧЕНЬ МЕРОПРИЯТИЙ МУНИЦИПАЛЬНОЙ ПРОГРАММЫ</w:t>
      </w:r>
    </w:p>
    <w:p w:rsidR="000C7B64" w:rsidRPr="003657BF" w:rsidRDefault="000C7B64" w:rsidP="000C7B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985"/>
        <w:gridCol w:w="1276"/>
        <w:gridCol w:w="850"/>
        <w:gridCol w:w="851"/>
        <w:gridCol w:w="992"/>
        <w:gridCol w:w="1843"/>
        <w:gridCol w:w="2551"/>
        <w:gridCol w:w="1843"/>
      </w:tblGrid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Срок исполнения мероприятия, год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C7B64" w:rsidRPr="003657BF" w:rsidTr="00A53295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0" w:name="Par312"/>
            <w:bookmarkEnd w:id="0"/>
            <w:r w:rsidRPr="003657BF">
              <w:rPr>
                <w:rFonts w:ascii="Arial" w:hAnsi="Arial" w:cs="Arial"/>
                <w:sz w:val="24"/>
                <w:szCs w:val="24"/>
              </w:rPr>
              <w:t xml:space="preserve">1. Обеспечение благоприятных условий развития ТОС на территории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C7B64" w:rsidRPr="003657BF" w:rsidTr="00A53295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bookmarkStart w:id="1" w:name="Par313"/>
            <w:bookmarkEnd w:id="1"/>
            <w:r w:rsidRPr="003657BF">
              <w:rPr>
                <w:rFonts w:ascii="Arial" w:hAnsi="Arial" w:cs="Arial"/>
                <w:sz w:val="24"/>
                <w:szCs w:val="24"/>
              </w:rPr>
              <w:t>1.1. Выявление организаторов общественных инициатив, координация и обеспечение их деятельности</w:t>
            </w: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Сотрудничество с образовательными учреждениями, общественными и иными организациями по выявлению местного актива в целях привлечения его к работе в составе ТОС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встреч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Проведение регулярных встреч должностных лиц органов местного </w:t>
            </w: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района, депутатов районного Совета с гражданами по месту жительства ведение личного приема граждан на территориях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3295" w:rsidRPr="003657BF" w:rsidRDefault="00A53295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Итого затрат по подпункту 1.1: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Par414"/>
            <w:bookmarkEnd w:id="2"/>
          </w:p>
        </w:tc>
        <w:tc>
          <w:tcPr>
            <w:tcW w:w="146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7B64" w:rsidRPr="003657BF">
              <w:rPr>
                <w:rFonts w:ascii="Arial" w:hAnsi="Arial" w:cs="Arial"/>
                <w:bCs/>
                <w:sz w:val="24"/>
                <w:szCs w:val="24"/>
              </w:rPr>
              <w:t>Осуществление взаимодействия органов местного самоуправления с органами ТОС и общественными объединениями по вопросам развития ТОС</w:t>
            </w: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Проведение совместных </w:t>
            </w:r>
            <w:r w:rsidR="003657BF" w:rsidRPr="003657BF">
              <w:rPr>
                <w:rFonts w:ascii="Arial" w:hAnsi="Arial" w:cs="Arial"/>
                <w:sz w:val="24"/>
                <w:szCs w:val="24"/>
              </w:rPr>
              <w:t>мероприятий органов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местного самоуправления, депутатского корпуса районного Совета депутатов и органов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BF" w:rsidRPr="003657BF" w:rsidTr="00C041F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Проведение семинаров для представителей органов ТОС (информирование о новых формах работы ТОС, об опыте работы ТОС других муниципальных образованиях)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3BBF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5C3BBF" w:rsidRPr="003657BF" w:rsidTr="00C041F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BF" w:rsidRPr="003657BF" w:rsidTr="00C041F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BBF" w:rsidRPr="003657BF" w:rsidRDefault="005C3BBF" w:rsidP="00C0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Итого затрат по подпункту 1.</w:t>
            </w:r>
            <w:r w:rsidR="005C3BBF"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Pr="003657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5C3BBF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1.3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7B64" w:rsidRPr="003657BF">
              <w:rPr>
                <w:rFonts w:ascii="Arial" w:hAnsi="Arial" w:cs="Arial"/>
                <w:bCs/>
                <w:sz w:val="24"/>
                <w:szCs w:val="24"/>
              </w:rPr>
              <w:t>Организация мероприятий, направленных на повышении мотивации членов ТОС</w:t>
            </w: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1.3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Включение представителей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1.3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Организация и проведение конкурсов ТОС по реализации общественно значимых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1658,1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1575,0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Итого затрат по подпункту 1.3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1658,1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1575,0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1.4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7B64" w:rsidRPr="003657BF">
              <w:rPr>
                <w:rFonts w:ascii="Arial" w:hAnsi="Arial" w:cs="Arial"/>
                <w:bCs/>
                <w:sz w:val="24"/>
                <w:szCs w:val="24"/>
              </w:rPr>
              <w:t>Информирование населения о создании и направлениях деятельности ТОС</w:t>
            </w: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1.4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Подготовка и издание информационных материалов о деятельности ТОС, реализации общественных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7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3657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7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3657B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1.4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02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 статей и информационных материалов, освещающих деятельность 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(отдел организационно-кадровой работы)</w:t>
            </w:r>
          </w:p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2020-2022</w:t>
            </w:r>
          </w:p>
        </w:tc>
      </w:tr>
      <w:tr w:rsidR="000C7B64" w:rsidRPr="003657BF" w:rsidTr="003657B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0245CC">
        <w:trPr>
          <w:trHeight w:val="3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245CC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37BF5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Итого затрат по подпункту 1.4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sz w:val="24"/>
                <w:szCs w:val="24"/>
              </w:rPr>
              <w:t>Итого затрат по муниципальной программе: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1665,6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B64" w:rsidRPr="003657BF" w:rsidTr="00A5329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C7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64" w:rsidRPr="003657BF" w:rsidRDefault="000C7B64" w:rsidP="00A53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2AF" w:rsidRPr="003657BF" w:rsidRDefault="003962AF" w:rsidP="00A7408A">
      <w:pPr>
        <w:spacing w:after="0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755E9" w:rsidRPr="003657BF" w:rsidRDefault="001755E9" w:rsidP="003962AF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  <w:sectPr w:rsidR="001755E9" w:rsidRPr="003657BF" w:rsidSect="000C7B6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37609" w:rsidRPr="003657BF" w:rsidRDefault="00E37609" w:rsidP="00E37609">
      <w:pPr>
        <w:jc w:val="center"/>
        <w:rPr>
          <w:rFonts w:ascii="Arial" w:hAnsi="Arial" w:cs="Arial"/>
          <w:b/>
          <w:sz w:val="24"/>
          <w:szCs w:val="24"/>
        </w:rPr>
      </w:pPr>
      <w:r w:rsidRPr="003657BF">
        <w:rPr>
          <w:rFonts w:ascii="Arial" w:hAnsi="Arial" w:cs="Arial"/>
          <w:b/>
          <w:sz w:val="24"/>
          <w:szCs w:val="24"/>
        </w:rPr>
        <w:lastRenderedPageBreak/>
        <w:t>V. СВОДНЫЕ ФИНАНСОВЫЕ ЗАТРАТЫ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276"/>
        <w:gridCol w:w="1701"/>
      </w:tblGrid>
      <w:tr w:rsidR="00E37609" w:rsidRPr="003657BF" w:rsidTr="00EB1BE4">
        <w:tc>
          <w:tcPr>
            <w:tcW w:w="3114" w:type="dxa"/>
            <w:vMerge w:val="restart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Источники и объемы расходов по программе </w:t>
            </w:r>
          </w:p>
        </w:tc>
        <w:tc>
          <w:tcPr>
            <w:tcW w:w="5103" w:type="dxa"/>
            <w:gridSpan w:val="4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Финансовые затраты,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E37609" w:rsidRPr="003657BF" w:rsidTr="00EB1BE4">
        <w:tc>
          <w:tcPr>
            <w:tcW w:w="3114" w:type="dxa"/>
            <w:vMerge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3827" w:type="dxa"/>
            <w:gridSpan w:val="3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В том числе по годам реализации программы </w:t>
            </w:r>
          </w:p>
        </w:tc>
        <w:tc>
          <w:tcPr>
            <w:tcW w:w="1701" w:type="dxa"/>
            <w:vMerge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609" w:rsidRPr="003657BF" w:rsidTr="00EB1BE4">
        <w:tc>
          <w:tcPr>
            <w:tcW w:w="3114" w:type="dxa"/>
            <w:vMerge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7609" w:rsidRPr="003657BF" w:rsidRDefault="00E37609" w:rsidP="00E33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</w:t>
            </w:r>
            <w:r w:rsidR="00E338DE" w:rsidRPr="003657BF">
              <w:rPr>
                <w:rFonts w:ascii="Arial" w:hAnsi="Arial" w:cs="Arial"/>
                <w:sz w:val="24"/>
                <w:szCs w:val="24"/>
              </w:rPr>
              <w:t>20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  <w:r w:rsidR="00E338DE" w:rsidRPr="003657BF">
              <w:rPr>
                <w:rFonts w:ascii="Arial" w:hAnsi="Arial" w:cs="Arial"/>
                <w:sz w:val="24"/>
                <w:szCs w:val="24"/>
              </w:rPr>
              <w:t>021</w:t>
            </w:r>
            <w:r w:rsidRPr="003657BF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E37609" w:rsidRPr="003657BF" w:rsidRDefault="00E338DE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2022</w:t>
            </w:r>
            <w:r w:rsidR="00E37609" w:rsidRPr="003657BF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Merge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609" w:rsidRPr="003657BF" w:rsidTr="00EB1BE4">
        <w:tc>
          <w:tcPr>
            <w:tcW w:w="3114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7609" w:rsidRPr="003657BF" w:rsidTr="00EB1BE4">
        <w:tc>
          <w:tcPr>
            <w:tcW w:w="3114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276" w:type="dxa"/>
          </w:tcPr>
          <w:p w:rsidR="00E37609" w:rsidRPr="003657BF" w:rsidRDefault="000C7B64" w:rsidP="00E33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1665,6</w:t>
            </w:r>
          </w:p>
        </w:tc>
        <w:tc>
          <w:tcPr>
            <w:tcW w:w="1275" w:type="dxa"/>
          </w:tcPr>
          <w:p w:rsidR="00E37609" w:rsidRPr="003657BF" w:rsidRDefault="000C7B64" w:rsidP="000C7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</w:t>
            </w:r>
            <w:r w:rsidR="00E338DE" w:rsidRPr="003657BF">
              <w:rPr>
                <w:rFonts w:ascii="Arial" w:hAnsi="Arial" w:cs="Arial"/>
                <w:sz w:val="24"/>
                <w:szCs w:val="24"/>
              </w:rPr>
              <w:t>,</w:t>
            </w:r>
            <w:r w:rsidRPr="003657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555,2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555,2</w:t>
            </w:r>
          </w:p>
        </w:tc>
        <w:tc>
          <w:tcPr>
            <w:tcW w:w="1701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7609" w:rsidRPr="003657BF" w:rsidTr="00EB1BE4">
        <w:tc>
          <w:tcPr>
            <w:tcW w:w="3114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средств областного бюджета Новосибирской области </w:t>
            </w:r>
          </w:p>
        </w:tc>
        <w:tc>
          <w:tcPr>
            <w:tcW w:w="1276" w:type="dxa"/>
          </w:tcPr>
          <w:p w:rsidR="00E37609" w:rsidRPr="003657BF" w:rsidRDefault="000C7B64" w:rsidP="00E33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1575</w:t>
            </w:r>
            <w:r w:rsidR="00E37609" w:rsidRPr="003657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7609" w:rsidRPr="003657BF" w:rsidRDefault="000C7B64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</w:t>
            </w:r>
            <w:r w:rsidR="00E338DE" w:rsidRPr="003657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525</w:t>
            </w:r>
            <w:r w:rsidR="000C7B64" w:rsidRPr="003657B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7609" w:rsidRPr="003657BF" w:rsidTr="00EB1BE4">
        <w:tc>
          <w:tcPr>
            <w:tcW w:w="3114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средств местного бюджета </w:t>
            </w:r>
            <w:proofErr w:type="spellStart"/>
            <w:r w:rsidRPr="003657B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3657B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276" w:type="dxa"/>
          </w:tcPr>
          <w:p w:rsidR="00E37609" w:rsidRPr="003657BF" w:rsidRDefault="000C7B64" w:rsidP="000C7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75" w:type="dxa"/>
          </w:tcPr>
          <w:p w:rsidR="00E37609" w:rsidRPr="003657BF" w:rsidRDefault="000C7B64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E37609" w:rsidRPr="003657BF" w:rsidRDefault="0081115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701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7609" w:rsidRPr="003657BF" w:rsidTr="00EB1BE4">
        <w:tc>
          <w:tcPr>
            <w:tcW w:w="3114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57BF">
              <w:rPr>
                <w:rFonts w:ascii="Arial" w:hAnsi="Arial" w:cs="Arial"/>
                <w:sz w:val="24"/>
                <w:szCs w:val="24"/>
              </w:rPr>
              <w:t xml:space="preserve">средств внебюджетных источников 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57B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7609" w:rsidRPr="003657BF" w:rsidRDefault="00E37609" w:rsidP="00EB1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7609" w:rsidRPr="003657BF" w:rsidRDefault="00E37609" w:rsidP="00E37609">
      <w:pPr>
        <w:jc w:val="center"/>
        <w:rPr>
          <w:rFonts w:ascii="Arial" w:hAnsi="Arial" w:cs="Arial"/>
          <w:b/>
          <w:sz w:val="24"/>
          <w:szCs w:val="24"/>
        </w:rPr>
      </w:pPr>
    </w:p>
    <w:p w:rsidR="00E37609" w:rsidRPr="003657BF" w:rsidRDefault="00E37609" w:rsidP="0027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272024" w:rsidRPr="003657BF" w:rsidRDefault="00E77EB7" w:rsidP="0027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  <w:lang w:val="en-US"/>
        </w:rPr>
        <w:t>V</w:t>
      </w:r>
      <w:r w:rsidR="00E37609" w:rsidRPr="003657BF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  <w:lang w:val="en-US"/>
        </w:rPr>
        <w:t>I</w:t>
      </w:r>
      <w:r w:rsidRPr="003657BF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. МЕХАНИЗМ РЕАЛИЗАЦИИ ПРОГРАММЫ</w:t>
      </w:r>
    </w:p>
    <w:p w:rsidR="00B12FAF" w:rsidRPr="003657BF" w:rsidRDefault="00B12FAF" w:rsidP="0027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4B59C4" w:rsidRPr="003657BF" w:rsidRDefault="004B59C4" w:rsidP="004B5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bCs/>
          <w:color w:val="auto"/>
          <w:sz w:val="24"/>
          <w:szCs w:val="24"/>
          <w:bdr w:val="none" w:sz="0" w:space="0" w:color="auto"/>
        </w:rPr>
        <w:t>Реализация Программы осуществляется ее ответственным исполнителем совместно с исполнителями мероприятий в соответствии с нормативными правовыми актами Российской Федерации, Новосибирской области, муниципальными правовыми актами Болотнинского района Новосибирской области.</w:t>
      </w:r>
    </w:p>
    <w:p w:rsidR="00361C8D" w:rsidRPr="003657BF" w:rsidRDefault="00CC531E" w:rsidP="00361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Мониторинг реализации программы осуществляется </w:t>
      </w:r>
      <w:r w:rsidR="00361C8D"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ежегодно </w:t>
      </w:r>
      <w:r w:rsidR="00461BE5"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в соответствии с постановлением администрации Болотнинского района Новосибирской области от 30.01.2014г № 123а «Об утверждении </w:t>
      </w:r>
      <w:hyperlink w:anchor="Par34" w:history="1">
        <w:proofErr w:type="gramStart"/>
        <w:r w:rsidR="00461BE5" w:rsidRPr="003657B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/>
          </w:rPr>
          <w:t>Порядк</w:t>
        </w:r>
        <w:proofErr w:type="gramEnd"/>
      </w:hyperlink>
      <w:r w:rsidR="00461BE5"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 принятия решений о разработке муниципальных программ Болотнинского района Новосибирской области, их формировании, реализации и оценки эффективности». </w:t>
      </w:r>
    </w:p>
    <w:p w:rsidR="00CC531E" w:rsidRPr="003657BF" w:rsidRDefault="00CC531E" w:rsidP="00361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Финансирование Программы производится в порядке, установленном для исполнения районного бюджета.</w:t>
      </w:r>
    </w:p>
    <w:p w:rsidR="00CC531E" w:rsidRPr="003657BF" w:rsidRDefault="004B59C4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Ответственный исполнитель Программы</w:t>
      </w:r>
      <w:r w:rsidR="00CC531E"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:</w:t>
      </w:r>
      <w:bookmarkStart w:id="3" w:name="_GoBack"/>
      <w:bookmarkEnd w:id="3"/>
    </w:p>
    <w:p w:rsidR="00CC531E" w:rsidRPr="003657BF" w:rsidRDefault="00CC531E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CC531E" w:rsidRPr="003657BF" w:rsidRDefault="00CC531E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недостижения</w:t>
      </w:r>
      <w:proofErr w:type="spellEnd"/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ожидаемых результатов и определяет меры по их устранению;</w:t>
      </w:r>
    </w:p>
    <w:p w:rsidR="00CC531E" w:rsidRPr="003657BF" w:rsidRDefault="00CC531E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CC531E" w:rsidRPr="003657BF" w:rsidRDefault="00CC531E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рекомендует исполнителям программы осуществлять разработку отдельных мероприятий, планов их реализации.</w:t>
      </w:r>
    </w:p>
    <w:p w:rsidR="004B59C4" w:rsidRPr="003657BF" w:rsidRDefault="004B59C4" w:rsidP="00CC5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Исполнители мероприятий Программы:</w:t>
      </w:r>
    </w:p>
    <w:p w:rsidR="004B59C4" w:rsidRPr="003657BF" w:rsidRDefault="004B59C4" w:rsidP="004B5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>планируют деятельность по реализации Программы;</w:t>
      </w:r>
    </w:p>
    <w:p w:rsidR="00B12FAF" w:rsidRPr="003657BF" w:rsidRDefault="004B59C4" w:rsidP="00CA2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657B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проводят мероприятия в рамках Программы.</w:t>
      </w:r>
    </w:p>
    <w:p w:rsidR="00CA2BE1" w:rsidRPr="003657BF" w:rsidRDefault="00CA2BE1" w:rsidP="00CA2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CA2BE1" w:rsidRPr="003657BF" w:rsidRDefault="00CA2BE1" w:rsidP="00CA2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267F7" w:rsidRPr="003657BF" w:rsidRDefault="00B267F7" w:rsidP="00B12FA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267F7" w:rsidRPr="003657BF" w:rsidRDefault="00B267F7" w:rsidP="00B12FA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267F7" w:rsidRPr="003657BF" w:rsidRDefault="00B267F7" w:rsidP="00B12FA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267F7" w:rsidRPr="003657BF" w:rsidRDefault="00B267F7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BE1" w:rsidRPr="003657BF" w:rsidRDefault="00CA2BE1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BE1" w:rsidRPr="003657BF" w:rsidRDefault="00CA2BE1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AD0" w:rsidRPr="003657BF" w:rsidRDefault="00D64AD0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AD0" w:rsidRPr="003657BF" w:rsidRDefault="00D64AD0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AD0" w:rsidRPr="003657BF" w:rsidRDefault="00D64AD0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BE1" w:rsidRPr="003657BF" w:rsidRDefault="00CA2BE1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4" w:rsidRPr="003657BF" w:rsidRDefault="006477B4" w:rsidP="00B12F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77B4" w:rsidRPr="003657BF" w:rsidSect="005434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80"/>
    <w:rsid w:val="000245CC"/>
    <w:rsid w:val="00037BF5"/>
    <w:rsid w:val="000606DF"/>
    <w:rsid w:val="00087D7F"/>
    <w:rsid w:val="000B796A"/>
    <w:rsid w:val="000C7B64"/>
    <w:rsid w:val="000E33AA"/>
    <w:rsid w:val="00120DCD"/>
    <w:rsid w:val="00144810"/>
    <w:rsid w:val="001755E9"/>
    <w:rsid w:val="00185CDA"/>
    <w:rsid w:val="0019012F"/>
    <w:rsid w:val="001B73FF"/>
    <w:rsid w:val="001C1963"/>
    <w:rsid w:val="001C19DB"/>
    <w:rsid w:val="001E780F"/>
    <w:rsid w:val="001F5C31"/>
    <w:rsid w:val="00200E63"/>
    <w:rsid w:val="00207473"/>
    <w:rsid w:val="002321BD"/>
    <w:rsid w:val="00272024"/>
    <w:rsid w:val="00272FDA"/>
    <w:rsid w:val="00277E15"/>
    <w:rsid w:val="002E4D97"/>
    <w:rsid w:val="002E76D9"/>
    <w:rsid w:val="00323C43"/>
    <w:rsid w:val="00342B26"/>
    <w:rsid w:val="00361C8D"/>
    <w:rsid w:val="003657BF"/>
    <w:rsid w:val="00366B63"/>
    <w:rsid w:val="00381AD6"/>
    <w:rsid w:val="003962AF"/>
    <w:rsid w:val="003C708E"/>
    <w:rsid w:val="003F0E37"/>
    <w:rsid w:val="003F11C9"/>
    <w:rsid w:val="00415080"/>
    <w:rsid w:val="00461BE5"/>
    <w:rsid w:val="004716D2"/>
    <w:rsid w:val="00496CC6"/>
    <w:rsid w:val="004B296A"/>
    <w:rsid w:val="004B59C4"/>
    <w:rsid w:val="004D16AF"/>
    <w:rsid w:val="004D7447"/>
    <w:rsid w:val="00501456"/>
    <w:rsid w:val="00513F8A"/>
    <w:rsid w:val="00515581"/>
    <w:rsid w:val="005249C3"/>
    <w:rsid w:val="00540917"/>
    <w:rsid w:val="0054345D"/>
    <w:rsid w:val="00550684"/>
    <w:rsid w:val="005A453C"/>
    <w:rsid w:val="005A6DC8"/>
    <w:rsid w:val="005C3BBF"/>
    <w:rsid w:val="005C47C7"/>
    <w:rsid w:val="005E6A1F"/>
    <w:rsid w:val="00634B50"/>
    <w:rsid w:val="00643536"/>
    <w:rsid w:val="00647091"/>
    <w:rsid w:val="006477B4"/>
    <w:rsid w:val="00660E6D"/>
    <w:rsid w:val="0069123F"/>
    <w:rsid w:val="006B6ED1"/>
    <w:rsid w:val="00745B71"/>
    <w:rsid w:val="00747119"/>
    <w:rsid w:val="00747202"/>
    <w:rsid w:val="007520CF"/>
    <w:rsid w:val="0075406C"/>
    <w:rsid w:val="007F48B4"/>
    <w:rsid w:val="00811159"/>
    <w:rsid w:val="00875912"/>
    <w:rsid w:val="008868A4"/>
    <w:rsid w:val="008D55F6"/>
    <w:rsid w:val="008E4CB3"/>
    <w:rsid w:val="008F344F"/>
    <w:rsid w:val="0091768B"/>
    <w:rsid w:val="00932999"/>
    <w:rsid w:val="00952776"/>
    <w:rsid w:val="00987001"/>
    <w:rsid w:val="009A3B9D"/>
    <w:rsid w:val="009B1592"/>
    <w:rsid w:val="009B1E06"/>
    <w:rsid w:val="00A115AB"/>
    <w:rsid w:val="00A3369C"/>
    <w:rsid w:val="00A4655C"/>
    <w:rsid w:val="00A53295"/>
    <w:rsid w:val="00A5462B"/>
    <w:rsid w:val="00A61F94"/>
    <w:rsid w:val="00A7408A"/>
    <w:rsid w:val="00A9099E"/>
    <w:rsid w:val="00A93A12"/>
    <w:rsid w:val="00A95519"/>
    <w:rsid w:val="00AB03C7"/>
    <w:rsid w:val="00AB34CC"/>
    <w:rsid w:val="00AC53B8"/>
    <w:rsid w:val="00B12FAF"/>
    <w:rsid w:val="00B267F7"/>
    <w:rsid w:val="00B34160"/>
    <w:rsid w:val="00B56B24"/>
    <w:rsid w:val="00BB1E0E"/>
    <w:rsid w:val="00C04E33"/>
    <w:rsid w:val="00C234DF"/>
    <w:rsid w:val="00C527B0"/>
    <w:rsid w:val="00C57227"/>
    <w:rsid w:val="00C7443C"/>
    <w:rsid w:val="00C806EE"/>
    <w:rsid w:val="00C810ED"/>
    <w:rsid w:val="00C9421C"/>
    <w:rsid w:val="00CA2BE1"/>
    <w:rsid w:val="00CC531E"/>
    <w:rsid w:val="00CF4B50"/>
    <w:rsid w:val="00D27C1B"/>
    <w:rsid w:val="00D51391"/>
    <w:rsid w:val="00D64AD0"/>
    <w:rsid w:val="00D74B2D"/>
    <w:rsid w:val="00DB30D3"/>
    <w:rsid w:val="00DE0276"/>
    <w:rsid w:val="00DE6745"/>
    <w:rsid w:val="00E11A81"/>
    <w:rsid w:val="00E338DE"/>
    <w:rsid w:val="00E37609"/>
    <w:rsid w:val="00E720A4"/>
    <w:rsid w:val="00E72E95"/>
    <w:rsid w:val="00E77EB7"/>
    <w:rsid w:val="00E86F8B"/>
    <w:rsid w:val="00E96761"/>
    <w:rsid w:val="00EB1BE4"/>
    <w:rsid w:val="00F46AF3"/>
    <w:rsid w:val="00F71865"/>
    <w:rsid w:val="00F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C2EF2-8663-41E4-9021-7423EB8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6F5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C1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6F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74B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B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3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C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D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qFormat/>
    <w:rsid w:val="00647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47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rsid w:val="006477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lot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4D73-8708-4E96-81E1-8ADFAAB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10</cp:revision>
  <cp:lastPrinted>2019-11-11T06:20:00Z</cp:lastPrinted>
  <dcterms:created xsi:type="dcterms:W3CDTF">2019-11-11T06:18:00Z</dcterms:created>
  <dcterms:modified xsi:type="dcterms:W3CDTF">2019-11-20T09:22:00Z</dcterms:modified>
</cp:coreProperties>
</file>