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drawing>
          <wp:inline distT="0" distB="0" distL="0" distR="0">
            <wp:extent cx="638810" cy="808990"/>
            <wp:effectExtent l="0" t="0" r="0" b="0"/>
            <wp:docPr id="1" name="Изображение1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 descr="" title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810" cy="808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БОЛОТНИНСКОГО  РАЙОНА  НОВОСИБИРСКОЙ ОБЛАСТИ</w:t>
      </w:r>
    </w:p>
    <w:p>
      <w:pPr>
        <w:pStyle w:val="Normal"/>
        <w:jc w:val="center"/>
        <w:rPr/>
      </w:pPr>
      <w:r>
        <w:rPr>
          <w:b/>
          <w:sz w:val="28"/>
          <w:szCs w:val="28"/>
        </w:rPr>
        <w:br/>
        <w:t>ПОСТАНОВЛЕНИЕ</w:t>
        <w:br/>
        <w:t>от 20.09.2010г. № 853</w:t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>О  мероприятиях по переоформлению юридическими лицами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>права постоянного (бессрочного) пользования.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целях обеспечения  исполнения юридическими лицами обязанности по переоформлению  в установленные сроки права постоянного (бессрочного) пользования земельными участками, руководствуясь разработанным в Правительстве Российской Федерации комплекса мер, направленных на обеспечение исполнения соответствующими юридическими лицами обязанности по  переоформлению в установленные сроки права постоянного (бессрочного) пользования земельными участками,  на основании обращения Первого заместителя председателя Правительства Российской Федерации И.И.Шувалова,  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/>
      </w:pPr>
      <w:r>
        <w:rPr>
          <w:sz w:val="28"/>
          <w:szCs w:val="28"/>
        </w:rPr>
        <w:tab/>
        <w:t>1.Утвердить комплекс  муниципальных мер, направленных   на обеспечение исполнения  соответствующими юридическими лицами обязанности по  переоформлению в установленные сроки права постоянного (бессрочного) пользования земельными участками  -  Приложение  №1.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2. В целях эффективного выполнения вышеуказанного комплекса муниципальных мер, создать рабочую группу в составе:</w:t>
      </w:r>
    </w:p>
    <w:p>
      <w:pPr>
        <w:pStyle w:val="Normal"/>
        <w:jc w:val="both"/>
        <w:rPr/>
      </w:pPr>
      <w:r>
        <w:rPr>
          <w:sz w:val="28"/>
          <w:szCs w:val="28"/>
        </w:rPr>
        <w:tab/>
      </w:r>
      <w:r>
        <w:rPr>
          <w:color w:val="000000"/>
          <w:spacing w:val="1"/>
          <w:sz w:val="28"/>
          <w:szCs w:val="28"/>
        </w:rPr>
        <w:t xml:space="preserve">Карпова                                 -  заместитель главы администрации                            </w:t>
      </w:r>
    </w:p>
    <w:p>
      <w:pPr>
        <w:pStyle w:val="Normal"/>
        <w:ind w:firstLine="708"/>
        <w:rPr/>
      </w:pPr>
      <w:r>
        <w:rPr>
          <w:color w:val="000000"/>
          <w:spacing w:val="1"/>
          <w:sz w:val="28"/>
          <w:szCs w:val="28"/>
        </w:rPr>
        <w:t>Ирма Карловна                        Болотнинского района -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                                                  </w:t>
      </w:r>
      <w:r>
        <w:rPr>
          <w:color w:val="000000"/>
          <w:spacing w:val="1"/>
          <w:sz w:val="28"/>
          <w:szCs w:val="28"/>
        </w:rPr>
        <w:t>председатель рабочей группы;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Золотухина                           -  начальник Болотнинского отдела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Валентина Георгиевна           Управления Федеральной службы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                                                  </w:t>
      </w:r>
      <w:r>
        <w:rPr>
          <w:color w:val="000000"/>
          <w:spacing w:val="1"/>
          <w:sz w:val="28"/>
          <w:szCs w:val="28"/>
        </w:rPr>
        <w:t>регистрации, кадастра и картографии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                                                  </w:t>
      </w:r>
      <w:r>
        <w:rPr>
          <w:color w:val="000000"/>
          <w:spacing w:val="1"/>
          <w:sz w:val="28"/>
          <w:szCs w:val="28"/>
        </w:rPr>
        <w:t>по Новосибирской области-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                                                  </w:t>
      </w:r>
      <w:r>
        <w:rPr>
          <w:color w:val="000000"/>
          <w:spacing w:val="1"/>
          <w:sz w:val="28"/>
          <w:szCs w:val="28"/>
        </w:rPr>
        <w:t>зам. председателя рабочей группы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                                                  </w:t>
      </w:r>
      <w:r>
        <w:rPr>
          <w:color w:val="000000"/>
          <w:spacing w:val="1"/>
          <w:sz w:val="28"/>
          <w:szCs w:val="28"/>
        </w:rPr>
        <w:t>( по согласованию);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Кирпун                                 -  начальник отдела  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Татьяна Владимировна          земельных отношений УСЖКДК иЗО</w:t>
      </w:r>
    </w:p>
    <w:p>
      <w:pPr>
        <w:pStyle w:val="Normal"/>
        <w:ind w:firstLine="709"/>
        <w:rPr/>
      </w:pPr>
      <w:r>
        <w:rPr>
          <w:color w:val="000000"/>
          <w:spacing w:val="1"/>
          <w:sz w:val="28"/>
          <w:szCs w:val="28"/>
        </w:rPr>
        <w:t xml:space="preserve">                                                 </w:t>
      </w:r>
      <w:r>
        <w:rPr>
          <w:color w:val="000000"/>
          <w:spacing w:val="1"/>
          <w:sz w:val="28"/>
          <w:szCs w:val="28"/>
        </w:rPr>
        <w:t xml:space="preserve">администрации </w:t>
      </w:r>
      <w:r>
        <w:rPr>
          <w:sz w:val="28"/>
          <w:szCs w:val="28"/>
        </w:rPr>
        <w:t xml:space="preserve">Болотнинского района –  </w:t>
      </w:r>
    </w:p>
    <w:p>
      <w:pPr>
        <w:pStyle w:val="Normal"/>
        <w:ind w:firstLine="709"/>
        <w:rPr>
          <w:color w:val="000000"/>
          <w:spacing w:val="1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</w:t>
      </w:r>
      <w:r>
        <w:rPr>
          <w:sz w:val="28"/>
          <w:szCs w:val="28"/>
        </w:rPr>
        <w:t>секретарь рабочей  группы;</w:t>
      </w:r>
    </w:p>
    <w:p>
      <w:pPr>
        <w:pStyle w:val="Normal"/>
        <w:ind w:firstLine="709"/>
        <w:rPr/>
      </w:pPr>
      <w:r>
        <w:rPr>
          <w:sz w:val="28"/>
          <w:szCs w:val="28"/>
        </w:rPr>
        <w:t xml:space="preserve">                                                     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Члены рабочей группы: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>Качесов                               - государственный инспектор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Михаил Александрович       Болотнинского района по использованию 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                                                </w:t>
      </w:r>
      <w:r>
        <w:rPr>
          <w:color w:val="000000"/>
          <w:spacing w:val="1"/>
          <w:sz w:val="28"/>
          <w:szCs w:val="28"/>
        </w:rPr>
        <w:t>и охране земель (по согласованию);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Нестеренко                          - начальник УЭР администрации 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Светлана Вячеславовна        Болотнинского района;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Сорокин                               - главный специалист - юрист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Игорь Леонидович                администрации Болотнинского района;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Фролов                                - главный специалист Управления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Александр Михайлович       сельского хозяйства администрации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                                                </w:t>
      </w:r>
      <w:r>
        <w:rPr>
          <w:color w:val="000000"/>
          <w:spacing w:val="1"/>
          <w:sz w:val="28"/>
          <w:szCs w:val="28"/>
        </w:rPr>
        <w:t>Болотнинского района.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3.Опубликовать настоящее постановление  в газете «Наши новости».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4. Контроль за исполнением  постановления возложить на Карпову И.К.- заместителя главы администрации Болотнинского района Новосибирской области. 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Глава Болотнинского района                                                                В.А.Франк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                                                  </w:t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ind w:firstLine="708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</w:r>
    </w:p>
    <w:p>
      <w:pPr>
        <w:pStyle w:val="Normal"/>
        <w:rPr/>
      </w:pPr>
      <w:r>
        <w:rPr>
          <w:color w:val="000000"/>
          <w:spacing w:val="1"/>
          <w:sz w:val="18"/>
          <w:szCs w:val="18"/>
        </w:rPr>
        <w:t>Кирпун Т.В.</w:t>
      </w:r>
    </w:p>
    <w:p>
      <w:pPr>
        <w:pStyle w:val="Normal"/>
        <w:rPr>
          <w:color w:val="000000"/>
          <w:spacing w:val="1"/>
          <w:sz w:val="18"/>
          <w:szCs w:val="18"/>
        </w:rPr>
      </w:pPr>
      <w:r>
        <w:rPr>
          <w:color w:val="000000"/>
          <w:spacing w:val="1"/>
          <w:sz w:val="18"/>
          <w:szCs w:val="18"/>
        </w:rPr>
        <w:t>21869</w:t>
      </w:r>
    </w:p>
    <w:p>
      <w:pPr>
        <w:pStyle w:val="Normal"/>
        <w:ind w:start="5103" w:hanging="0"/>
        <w:rPr>
          <w:color w:val="000000"/>
          <w:spacing w:val="1"/>
          <w:sz w:val="27"/>
          <w:szCs w:val="27"/>
        </w:rPr>
      </w:pPr>
      <w:r>
        <w:rPr>
          <w:color w:val="000000"/>
          <w:spacing w:val="1"/>
          <w:sz w:val="27"/>
          <w:szCs w:val="27"/>
        </w:rPr>
      </w:r>
    </w:p>
    <w:p>
      <w:pPr>
        <w:pStyle w:val="Normal"/>
        <w:ind w:start="4500" w:hanging="0"/>
        <w:rPr>
          <w:sz w:val="27"/>
          <w:szCs w:val="27"/>
        </w:rPr>
      </w:pPr>
      <w:r>
        <w:rPr>
          <w:sz w:val="27"/>
          <w:szCs w:val="27"/>
        </w:rPr>
        <w:t xml:space="preserve"> </w:t>
      </w:r>
      <w:r>
        <w:rPr>
          <w:sz w:val="27"/>
          <w:szCs w:val="27"/>
        </w:rPr>
        <w:t>Приложение №1 к постановлению</w:t>
      </w:r>
    </w:p>
    <w:p>
      <w:pPr>
        <w:pStyle w:val="Normal"/>
        <w:jc w:val="center"/>
        <w:rPr>
          <w:sz w:val="27"/>
          <w:szCs w:val="27"/>
        </w:rPr>
      </w:pPr>
      <w:r>
        <w:rPr>
          <w:sz w:val="27"/>
          <w:szCs w:val="27"/>
        </w:rPr>
        <w:t xml:space="preserve">                                                                </w:t>
      </w:r>
      <w:r>
        <w:rPr>
          <w:sz w:val="27"/>
          <w:szCs w:val="27"/>
        </w:rPr>
        <w:t>администрации Болотнинского района</w:t>
      </w:r>
    </w:p>
    <w:p>
      <w:pPr>
        <w:pStyle w:val="Normal"/>
        <w:jc w:val="center"/>
        <w:rPr>
          <w:sz w:val="27"/>
          <w:szCs w:val="27"/>
        </w:rPr>
      </w:pPr>
      <w:r>
        <w:rPr>
          <w:sz w:val="27"/>
          <w:szCs w:val="27"/>
        </w:rPr>
        <w:t xml:space="preserve">                                      </w:t>
      </w:r>
      <w:r>
        <w:rPr>
          <w:sz w:val="27"/>
          <w:szCs w:val="27"/>
        </w:rPr>
        <w:t>Новосибирской области</w:t>
      </w:r>
    </w:p>
    <w:p>
      <w:pPr>
        <w:pStyle w:val="Normal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                                                                   </w:t>
      </w:r>
      <w:r>
        <w:rPr>
          <w:sz w:val="27"/>
          <w:szCs w:val="27"/>
        </w:rPr>
        <w:t>от 20.09.2010 г № 853.</w:t>
      </w:r>
    </w:p>
    <w:p>
      <w:pPr>
        <w:pStyle w:val="Normal"/>
        <w:jc w:val="center"/>
        <w:rPr>
          <w:sz w:val="27"/>
          <w:szCs w:val="27"/>
        </w:rPr>
      </w:pPr>
      <w:r>
        <w:rPr>
          <w:sz w:val="27"/>
          <w:szCs w:val="27"/>
        </w:rPr>
      </w:r>
    </w:p>
    <w:p>
      <w:pPr>
        <w:pStyle w:val="Normal"/>
        <w:jc w:val="center"/>
        <w:rPr>
          <w:b/>
          <w:b/>
          <w:sz w:val="27"/>
          <w:szCs w:val="27"/>
        </w:rPr>
      </w:pPr>
      <w:r>
        <w:rPr>
          <w:b/>
          <w:sz w:val="27"/>
          <w:szCs w:val="27"/>
        </w:rPr>
        <w:t>К О М П Л Е К С  МУНИЦИПАЛЬНЫХ   М Е Р,</w:t>
      </w:r>
    </w:p>
    <w:p>
      <w:pPr>
        <w:pStyle w:val="Normal"/>
        <w:jc w:val="center"/>
        <w:rPr>
          <w:b/>
          <w:b/>
          <w:sz w:val="27"/>
          <w:szCs w:val="27"/>
        </w:rPr>
      </w:pPr>
      <w:r>
        <w:rPr>
          <w:b/>
          <w:sz w:val="27"/>
          <w:szCs w:val="27"/>
        </w:rPr>
        <w:t>направленных   на обеспечение исполнения  соответствующими юридическими лицами обязанности по  переоформлению в установленные сроки права постоянного (бессрочного) пользования земельными участками</w:t>
      </w:r>
    </w:p>
    <w:p>
      <w:pPr>
        <w:pStyle w:val="Normal"/>
        <w:jc w:val="center"/>
        <w:rPr>
          <w:b/>
          <w:b/>
          <w:sz w:val="27"/>
          <w:szCs w:val="27"/>
        </w:rPr>
      </w:pPr>
      <w:r>
        <w:rPr>
          <w:b/>
          <w:sz w:val="27"/>
          <w:szCs w:val="27"/>
        </w:rPr>
      </w:r>
    </w:p>
    <w:tbl>
      <w:tblPr>
        <w:tblW w:w="9333" w:type="dxa"/>
        <w:jc w:val="start"/>
        <w:tblInd w:w="243" w:type="dxa"/>
        <w:tblBorders>
          <w:top w:val="single" w:sz="4" w:space="0" w:color="000000"/>
          <w:star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start w:w="103" w:type="dxa"/>
          <w:bottom w:w="0" w:type="dxa"/>
          <w:end w:w="108" w:type="dxa"/>
        </w:tblCellMar>
      </w:tblPr>
      <w:tblGrid>
        <w:gridCol w:w="5426"/>
        <w:gridCol w:w="1888"/>
        <w:gridCol w:w="2019"/>
      </w:tblGrid>
      <w:tr>
        <w:trPr>
          <w:trHeight w:val="540" w:hRule="atLeast"/>
        </w:trPr>
        <w:tc>
          <w:tcPr>
            <w:tcW w:w="5426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snapToGrid w:val="false"/>
              <w:rPr>
                <w:b/>
                <w:b/>
              </w:rPr>
            </w:pPr>
            <w:r>
              <w:rPr>
                <w:b/>
              </w:rPr>
            </w:r>
          </w:p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Мероприятия</w:t>
            </w:r>
          </w:p>
        </w:tc>
        <w:tc>
          <w:tcPr>
            <w:tcW w:w="1888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Срок реализации</w:t>
            </w:r>
          </w:p>
          <w:p>
            <w:pPr>
              <w:pStyle w:val="Normal"/>
              <w:rPr>
                <w:b/>
                <w:b/>
              </w:rPr>
            </w:pPr>
            <w:r>
              <w:rPr>
                <w:b/>
              </w:rPr>
            </w:r>
          </w:p>
        </w:tc>
        <w:tc>
          <w:tcPr>
            <w:tcW w:w="2019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Ответственные исполнители</w:t>
            </w:r>
          </w:p>
          <w:p>
            <w:pPr>
              <w:pStyle w:val="Normal"/>
              <w:rPr>
                <w:b/>
                <w:b/>
              </w:rPr>
            </w:pPr>
            <w:r>
              <w:rPr>
                <w:b/>
              </w:rPr>
            </w:r>
          </w:p>
        </w:tc>
      </w:tr>
      <w:tr>
        <w:trPr>
          <w:trHeight w:val="450" w:hRule="atLeast"/>
        </w:trPr>
        <w:tc>
          <w:tcPr>
            <w:tcW w:w="9333" w:type="dxa"/>
            <w:gridSpan w:val="3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jc w:val="center"/>
              <w:rPr/>
            </w:pPr>
            <w:r>
              <w:rPr>
                <w:b/>
                <w:lang w:val="en-US"/>
              </w:rPr>
              <w:t>I</w:t>
            </w:r>
            <w:r>
              <w:rPr>
                <w:b/>
              </w:rPr>
              <w:t>. Организационные мероприятия</w:t>
            </w:r>
          </w:p>
        </w:tc>
      </w:tr>
      <w:tr>
        <w:trPr>
          <w:trHeight w:val="6165" w:hRule="atLeast"/>
        </w:trPr>
        <w:tc>
          <w:tcPr>
            <w:tcW w:w="5426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  <w:t>1. Сбор и анализ информации  о количестве находящихся в государственной и муниципальной собственности земельных участков, права постоянного (бессрочного) пользования которыми не переоформлены юридическими лицами в установленном порядке</w:t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  <w:t>2.Информационное обеспечение мероприятий по переоформлению прав на земельные участки, в том числе:</w:t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  <w:t>Размещение в установленном порядке информации на официальном сайте в сети  Интернет.</w:t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  <w:t>3.Формирование перечней земельных участков, права на которые не переоформлены в установленном порядке.</w:t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  <w:t>4. Подготовка графиков осуществления мероприятий по переоформлению прав  на соответствующие земельные участки и определение должностных лиц, ответственных за их выполнение</w:t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/>
            </w:pPr>
            <w:r>
              <w:rPr>
                <w:sz w:val="20"/>
              </w:rPr>
              <w:t>5. Предоставление в  Федеральную службу   Государственной регистрации, кадастра и картографии по Новосибирской области Болотнинский отдел графики осуществления мероприятий по переоформлению прав на соответствующие земельные участки и определение должностных лиц, ответственных за их выполнение</w:t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  <w:t>6. Реализация мероприятий по переоформлению прав на земельные участки</w:t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1888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rPr/>
            </w:pPr>
            <w:r>
              <w:rPr>
                <w:sz w:val="20"/>
                <w:lang w:val="en-US"/>
              </w:rPr>
              <w:t>III</w:t>
            </w:r>
            <w:r>
              <w:rPr>
                <w:sz w:val="20"/>
              </w:rPr>
              <w:t xml:space="preserve"> квартал 2010 г.</w:t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  <w:t>начиная с сентября 2010 г.</w:t>
            </w:r>
          </w:p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  <w:t>сентябрь - октябрь 2010г.</w:t>
            </w:r>
          </w:p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/>
            </w:pPr>
            <w:r>
              <w:rPr>
                <w:sz w:val="20"/>
                <w:lang w:val="en-US"/>
              </w:rPr>
              <w:t>IY</w:t>
            </w:r>
            <w:r>
              <w:rPr>
                <w:sz w:val="20"/>
              </w:rPr>
              <w:t xml:space="preserve"> квартал 2010 г.</w:t>
            </w:r>
          </w:p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/>
            </w:pPr>
            <w:r>
              <w:rPr>
                <w:sz w:val="20"/>
                <w:lang w:val="en-US"/>
              </w:rPr>
              <w:t>I</w:t>
            </w:r>
            <w:r>
              <w:rPr>
                <w:sz w:val="20"/>
              </w:rPr>
              <w:t xml:space="preserve"> квартал 2011 г.</w:t>
            </w:r>
          </w:p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  <w:t>в  соответствии с утвержденными графиками</w:t>
            </w:r>
          </w:p>
        </w:tc>
        <w:tc>
          <w:tcPr>
            <w:tcW w:w="2019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  <w:t>УСЖКДК и ЗО; УЭР; Управление сельского хозяйства;</w:t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  <w:t>Росрегистрация Болотнинский отдел</w:t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  <w:t>УСЖКДК и ЗО</w:t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  <w:t>УСЖКДК и ЗО; УЭР; Управление сельского хозяйства;</w:t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  <w:t>Росрегистрация Болотнинский отдел</w:t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  <w:t>УСЖКДК и ЗО; УЭР; Управление сельского хозяйства;</w:t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  <w:t>Росрегистрация Болотнинский отдел</w:t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  <w:t>УСЖКДК и ЗО;</w:t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  <w:t>Росрегистрация Болотнинский отдел</w:t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  <w:t>УСЖКДК и ЗО;</w:t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  <w:t>Росрегистрация Болотнинский отдел</w:t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390" w:hRule="atLeast"/>
        </w:trPr>
        <w:tc>
          <w:tcPr>
            <w:tcW w:w="9333" w:type="dxa"/>
            <w:gridSpan w:val="3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jc w:val="center"/>
              <w:rPr/>
            </w:pPr>
            <w:r>
              <w:rPr>
                <w:b/>
                <w:lang w:val="en-US"/>
              </w:rPr>
              <w:t>II</w:t>
            </w:r>
            <w:r>
              <w:rPr>
                <w:b/>
              </w:rPr>
              <w:t>. Мониторинг мероприятий по переоформлению прав на земельные участки</w:t>
            </w:r>
          </w:p>
          <w:p>
            <w:pPr>
              <w:pStyle w:val="Normal"/>
              <w:rPr>
                <w:b/>
                <w:b/>
                <w:sz w:val="20"/>
              </w:rPr>
            </w:pPr>
            <w:r>
              <w:rPr>
                <w:b/>
                <w:sz w:val="20"/>
              </w:rPr>
            </w:r>
          </w:p>
        </w:tc>
      </w:tr>
      <w:tr>
        <w:trPr>
          <w:trHeight w:val="1230" w:hRule="atLeast"/>
        </w:trPr>
        <w:tc>
          <w:tcPr>
            <w:tcW w:w="5426" w:type="dxa"/>
            <w:tcBorders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  <w:t xml:space="preserve">1. Проведение  в рамках осуществления государственного земельного контроля  проверок соблюдения выполнения требований земельного законодательства по вопросам использования земель, в том числе состояния переоформления прав на земельные участки </w:t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1888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  <w:t>в соответствии с мероприятиями, предусмотренными планом</w:t>
            </w:r>
          </w:p>
        </w:tc>
        <w:tc>
          <w:tcPr>
            <w:tcW w:w="2019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  <w:t>Росрегистрация Болотнинский отдел</w:t>
            </w:r>
          </w:p>
          <w:p>
            <w:pPr>
              <w:pStyle w:val="Normal"/>
              <w:rPr>
                <w:sz w:val="20"/>
              </w:rPr>
            </w:pPr>
            <w:r>
              <w:rPr>
                <w:sz w:val="20"/>
              </w:rPr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01" w:characterSet="utf-8"/>
    <w:family w:val="roman"/>
    <w:pitch w:val="variable"/>
  </w:font>
  <w:font w:name="Times New Roman">
    <w:charset w:val="cc" w:characterSet="windows-1251"/>
    <w:family w:val="roman"/>
    <w:pitch w:val="variable"/>
  </w:font>
  <w:font w:name="Liberation Sans">
    <w:altName w:val="Arial"/>
    <w:charset w:val="01" w:characterSet="utf-8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ans CJK SC Regular" w:cs="FreeSans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4"/>
      <w:lang w:val="ru-RU" w:bidi="ar-SA" w:eastAsia="zh-CN"/>
    </w:rPr>
  </w:style>
  <w:style w:type="character" w:styleId="Style14">
    <w:name w:val="Основной шрифт абзаца"/>
    <w:qFormat/>
    <w:rPr/>
  </w:style>
  <w:style w:type="paragraph" w:styleId="Style15">
    <w:name w:val="Заголовок"/>
    <w:basedOn w:val="Normal"/>
    <w:next w:val="Style16"/>
    <w:qFormat/>
    <w:pPr>
      <w:keepNext/>
      <w:spacing w:before="240" w:after="120"/>
    </w:pPr>
    <w:rPr>
      <w:rFonts w:ascii="Liberation Sans" w:hAnsi="Liberation Sans" w:eastAsia="Noto Sans CJK SC Regular" w:cs="FreeSans"/>
      <w:sz w:val="28"/>
      <w:szCs w:val="28"/>
    </w:rPr>
  </w:style>
  <w:style w:type="paragraph" w:styleId="Style16">
    <w:name w:val="Body Text"/>
    <w:basedOn w:val="Normal"/>
    <w:pPr>
      <w:spacing w:lineRule="auto" w:line="288" w:before="0" w:after="140"/>
    </w:pPr>
    <w:rPr/>
  </w:style>
  <w:style w:type="paragraph" w:styleId="Style17">
    <w:name w:val="List"/>
    <w:basedOn w:val="Style16"/>
    <w:pPr/>
    <w:rPr>
      <w:rFonts w:cs="FreeSans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FreeSans"/>
    </w:rPr>
  </w:style>
  <w:style w:type="paragraph" w:styleId="Style20">
    <w:name w:val="Содержимое таблицы"/>
    <w:basedOn w:val="Normal"/>
    <w:qFormat/>
    <w:pPr>
      <w:suppressLineNumbers/>
    </w:pPr>
    <w:rPr/>
  </w:style>
  <w:style w:type="paragraph" w:styleId="Style21">
    <w:name w:val="Заголовок таблицы"/>
    <w:basedOn w:val="Style20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Application>LibreOffice/5.2.2.2$Linux_X86_64 LibreOffice_project/20m0$Build-2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2010-10-08T13:02:00Z</dcterms:created>
  <dc:creator>Орготдел</dc:creator>
  <dc:description/>
  <dc:language>ru-RU</dc:language>
  <cp:lastModifiedBy>Орготдел</cp:lastModifiedBy>
  <cp:lastPrinted>2010-10-14T10:44:00Z</cp:lastPrinted>
  <dcterms:modified xsi:type="dcterms:W3CDTF">2010-10-20T15:11:00Z</dcterms:modified>
  <cp:revision>6</cp:revision>
  <dc:subject/>
  <dc:title/>
</cp:coreProperties>
</file>